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303AC" w14:textId="77777777" w:rsidR="00120A3C" w:rsidRDefault="00E6007D" w:rsidP="00761CD2">
      <w:pPr>
        <w:pStyle w:val="Memorandum"/>
      </w:pPr>
      <w:r>
        <w:t>M</w:t>
      </w:r>
      <w:r w:rsidR="00120A3C">
        <w:t>emorandum</w:t>
      </w:r>
    </w:p>
    <w:tbl>
      <w:tblPr>
        <w:tblStyle w:val="TableGrid"/>
        <w:tblW w:w="990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7650"/>
      </w:tblGrid>
      <w:tr w:rsidR="00120A3C" w14:paraId="51D77AB7" w14:textId="77777777" w:rsidTr="00CF2C90">
        <w:tc>
          <w:tcPr>
            <w:tcW w:w="2250" w:type="dxa"/>
          </w:tcPr>
          <w:p w14:paraId="03C0BC59" w14:textId="432B4907" w:rsidR="00120A3C" w:rsidRPr="00120A3C" w:rsidRDefault="00CF2C90" w:rsidP="00996330">
            <w:pPr>
              <w:pStyle w:val="ToAddressee"/>
              <w:rPr>
                <w:b/>
              </w:rPr>
            </w:pPr>
            <w:r>
              <w:rPr>
                <w:b/>
              </w:rPr>
              <w:t>PREPARED BY:</w:t>
            </w:r>
          </w:p>
        </w:tc>
        <w:tc>
          <w:tcPr>
            <w:tcW w:w="7650" w:type="dxa"/>
          </w:tcPr>
          <w:p w14:paraId="1406542A" w14:textId="0A1D8D74" w:rsidR="00120A3C" w:rsidRDefault="00CF2C90" w:rsidP="00754F07">
            <w:pPr>
              <w:pStyle w:val="ToAddressee"/>
            </w:pPr>
            <w:r>
              <w:t>Rachel S. Ackermann, PE</w:t>
            </w:r>
          </w:p>
        </w:tc>
      </w:tr>
      <w:tr w:rsidR="006E50F4" w14:paraId="0E173C15" w14:textId="77777777" w:rsidTr="00CF2C90">
        <w:tc>
          <w:tcPr>
            <w:tcW w:w="2250" w:type="dxa"/>
          </w:tcPr>
          <w:p w14:paraId="3725A9B3" w14:textId="77777777" w:rsidR="006E50F4" w:rsidRPr="00120A3C" w:rsidRDefault="006E50F4" w:rsidP="00996330">
            <w:pPr>
              <w:pStyle w:val="BodyText"/>
              <w:rPr>
                <w:b/>
              </w:rPr>
            </w:pPr>
            <w:r>
              <w:rPr>
                <w:b/>
              </w:rPr>
              <w:t>DATE:</w:t>
            </w:r>
          </w:p>
        </w:tc>
        <w:tc>
          <w:tcPr>
            <w:tcW w:w="7650" w:type="dxa"/>
          </w:tcPr>
          <w:p w14:paraId="3AEC1610" w14:textId="55416520" w:rsidR="00754F07" w:rsidRPr="007251AB" w:rsidRDefault="00CF2C90" w:rsidP="003449C0">
            <w:pPr>
              <w:pStyle w:val="BodyText"/>
            </w:pPr>
            <w:r>
              <w:t xml:space="preserve">February </w:t>
            </w:r>
            <w:r w:rsidR="00974FAA">
              <w:t>16, 2026</w:t>
            </w:r>
          </w:p>
        </w:tc>
      </w:tr>
      <w:tr w:rsidR="00120A3C" w14:paraId="242E539B" w14:textId="77777777" w:rsidTr="00CF2C90">
        <w:tc>
          <w:tcPr>
            <w:tcW w:w="2250" w:type="dxa"/>
          </w:tcPr>
          <w:p w14:paraId="2C68A40F" w14:textId="77777777" w:rsidR="00120A3C" w:rsidRPr="00120A3C" w:rsidRDefault="00120A3C" w:rsidP="00996330">
            <w:pPr>
              <w:pStyle w:val="BodyText"/>
              <w:rPr>
                <w:b/>
              </w:rPr>
            </w:pPr>
            <w:r w:rsidRPr="00120A3C">
              <w:rPr>
                <w:b/>
              </w:rPr>
              <w:t>SUBJECT:</w:t>
            </w:r>
          </w:p>
        </w:tc>
        <w:tc>
          <w:tcPr>
            <w:tcW w:w="7650" w:type="dxa"/>
          </w:tcPr>
          <w:p w14:paraId="456A904A" w14:textId="38D1AA07" w:rsidR="00120A3C" w:rsidRPr="007251AB" w:rsidRDefault="00CF2C90" w:rsidP="00754F07">
            <w:pPr>
              <w:pStyle w:val="ProjectNameandReferenceNumber"/>
            </w:pPr>
            <w:r w:rsidRPr="00E6466A">
              <w:t xml:space="preserve">Benefit Cost Analysis to Support the </w:t>
            </w:r>
            <w:r w:rsidR="00974FAA">
              <w:t>BUILD</w:t>
            </w:r>
            <w:r>
              <w:t xml:space="preserve"> </w:t>
            </w:r>
            <w:r w:rsidRPr="00E6466A">
              <w:t xml:space="preserve">Grant Application for the </w:t>
            </w:r>
            <w:r w:rsidRPr="009165F2">
              <w:t xml:space="preserve">US 85/120th Avenue Grade-Separation and Interchange </w:t>
            </w:r>
            <w:r w:rsidRPr="00E6466A">
              <w:t>Project</w:t>
            </w:r>
          </w:p>
        </w:tc>
      </w:tr>
    </w:tbl>
    <w:p w14:paraId="6046F261" w14:textId="231D3F6A" w:rsidR="00CB3F69" w:rsidRPr="00E6466A" w:rsidRDefault="00CB3F69" w:rsidP="00CB3F69">
      <w:r w:rsidRPr="00E6466A">
        <w:t xml:space="preserve">A benefit-cost assessment (BCA) was conducted for the </w:t>
      </w:r>
      <w:r w:rsidRPr="009165F2">
        <w:t>US 85/120th Avenue Grade-Separation and Interchange</w:t>
      </w:r>
      <w:r>
        <w:t xml:space="preserve"> </w:t>
      </w:r>
      <w:r w:rsidRPr="00E6466A">
        <w:t xml:space="preserve">Project as part of the </w:t>
      </w:r>
      <w:r w:rsidR="00364BAF">
        <w:t>Adams County</w:t>
      </w:r>
      <w:r>
        <w:t xml:space="preserve"> </w:t>
      </w:r>
      <w:r w:rsidRPr="00E6466A">
        <w:t>application to the US Department of Transportation (USDOT) 202</w:t>
      </w:r>
      <w:r w:rsidR="00974FAA">
        <w:t>6</w:t>
      </w:r>
      <w:r w:rsidRPr="00E6466A">
        <w:t xml:space="preserve"> </w:t>
      </w:r>
      <w:r w:rsidR="00974FAA">
        <w:t>BUILD</w:t>
      </w:r>
      <w:r>
        <w:t xml:space="preserve"> </w:t>
      </w:r>
      <w:r w:rsidRPr="00E6466A">
        <w:t xml:space="preserve">Grant Program. This analysis was conducted in accordance with the USDOT’s </w:t>
      </w:r>
      <w:r w:rsidRPr="00E6466A">
        <w:rPr>
          <w:i/>
        </w:rPr>
        <w:t xml:space="preserve">Benefit-Cost Analysis Guidance for Discretionary Grant </w:t>
      </w:r>
      <w:r w:rsidRPr="00D84EA3">
        <w:rPr>
          <w:iCs/>
        </w:rPr>
        <w:t>Programs</w:t>
      </w:r>
      <w:r>
        <w:rPr>
          <w:iCs/>
        </w:rPr>
        <w:t xml:space="preserve">, </w:t>
      </w:r>
      <w:r w:rsidR="00B0042D">
        <w:rPr>
          <w:iCs/>
        </w:rPr>
        <w:t>December 20</w:t>
      </w:r>
      <w:r w:rsidR="00974FAA">
        <w:rPr>
          <w:iCs/>
        </w:rPr>
        <w:t>25</w:t>
      </w:r>
      <w:r w:rsidR="00B0042D">
        <w:rPr>
          <w:iCs/>
        </w:rPr>
        <w:t xml:space="preserve"> </w:t>
      </w:r>
      <w:r>
        <w:t>(20</w:t>
      </w:r>
      <w:r w:rsidR="00974FAA">
        <w:t>25</w:t>
      </w:r>
      <w:r>
        <w:t xml:space="preserve"> BCA Guidance</w:t>
      </w:r>
      <w:r w:rsidRPr="00E6466A">
        <w:t>).</w:t>
      </w:r>
    </w:p>
    <w:p w14:paraId="1CCD4F7A" w14:textId="77777777" w:rsidR="00CB3F69" w:rsidRPr="00E6466A" w:rsidRDefault="00CB3F69" w:rsidP="00CB3F69">
      <w:r w:rsidRPr="00E6466A">
        <w:t xml:space="preserve">This BCA evaluates the costs and benefits of implementing the </w:t>
      </w:r>
      <w:r w:rsidRPr="009165F2">
        <w:t>US 85/120th Avenue Grade-Separation and Interchange</w:t>
      </w:r>
      <w:r w:rsidRPr="00E6466A">
        <w:t xml:space="preserve"> Project against a Baseline Scenario under which the project does not occur. </w:t>
      </w:r>
    </w:p>
    <w:p w14:paraId="0B6EC5CD" w14:textId="6167DC76" w:rsidR="00CB3F69" w:rsidRPr="00E6466A" w:rsidRDefault="00CB3F69" w:rsidP="00CB3F69">
      <w:r w:rsidRPr="00E6466A">
        <w:t xml:space="preserve">This memorandum summarizes the analyses and assumptions used in the development of the BCA. The analysis has been conducted in an Excel with multiple tabs quantifying and calculating the various types of benefits and disbenefits associated with the project. The spreadsheet identifies sources, factors, assumptions and data used in the BCA. Many of the factors/assumptions used in the analysis come directly from Appendix A of the </w:t>
      </w:r>
      <w:r>
        <w:t>202</w:t>
      </w:r>
      <w:r w:rsidR="00974FAA">
        <w:t>5</w:t>
      </w:r>
      <w:r w:rsidRPr="00E6466A">
        <w:t xml:space="preserve"> </w:t>
      </w:r>
      <w:r>
        <w:t>BCA G</w:t>
      </w:r>
      <w:r w:rsidRPr="00E6466A">
        <w:t>uidance.</w:t>
      </w:r>
    </w:p>
    <w:p w14:paraId="396B6D58" w14:textId="02131C05" w:rsidR="00AC5A6F" w:rsidRDefault="00D262DE" w:rsidP="00D262DE">
      <w:pPr>
        <w:pStyle w:val="Heading1"/>
      </w:pPr>
      <w:r>
        <w:t>General Assumptions</w:t>
      </w:r>
    </w:p>
    <w:p w14:paraId="0F4C6B54" w14:textId="52F7A83B" w:rsidR="00D262DE" w:rsidRDefault="00D262DE" w:rsidP="00D262DE">
      <w:pPr>
        <w:pStyle w:val="Heading2"/>
      </w:pPr>
      <w:r>
        <w:t>Project Description</w:t>
      </w:r>
    </w:p>
    <w:p w14:paraId="2FF1282C" w14:textId="0A2EEAC2" w:rsidR="00D02192" w:rsidRPr="00E6466A" w:rsidRDefault="00D02192" w:rsidP="00D02192">
      <w:bookmarkStart w:id="0" w:name="_Toc503514889"/>
      <w:r>
        <w:t xml:space="preserve">The </w:t>
      </w:r>
      <w:r w:rsidRPr="009165F2">
        <w:t>US 85/120th Avenue Grade-Separation and Interchange</w:t>
      </w:r>
      <w:r>
        <w:t xml:space="preserve"> </w:t>
      </w:r>
      <w:r w:rsidRPr="00E6466A">
        <w:t>Project</w:t>
      </w:r>
      <w:r>
        <w:t xml:space="preserve"> eliminates two </w:t>
      </w:r>
      <w:r w:rsidR="005B156F">
        <w:t xml:space="preserve">public </w:t>
      </w:r>
      <w:r>
        <w:t>at-grade signalized intersection</w:t>
      </w:r>
      <w:r w:rsidR="005B156F">
        <w:t>s</w:t>
      </w:r>
      <w:r>
        <w:t xml:space="preserve"> along the US 85 corridor and creates a new grade-separation of the Union Pacific Railroad (UPRR) and 120</w:t>
      </w:r>
      <w:r w:rsidRPr="0054764E">
        <w:rPr>
          <w:vertAlign w:val="superscript"/>
        </w:rPr>
        <w:t>th</w:t>
      </w:r>
      <w:r>
        <w:t xml:space="preserve"> Avenue and the closure of the 124</w:t>
      </w:r>
      <w:r w:rsidRPr="0054764E">
        <w:rPr>
          <w:vertAlign w:val="superscript"/>
        </w:rPr>
        <w:t>th</w:t>
      </w:r>
      <w:r>
        <w:t xml:space="preserve"> Avenue/US 85 intersection, resulting in the closure of two</w:t>
      </w:r>
      <w:r w:rsidR="005B156F">
        <w:t xml:space="preserve"> public</w:t>
      </w:r>
      <w:r>
        <w:t xml:space="preserve"> at-grade rail crossings. </w:t>
      </w:r>
    </w:p>
    <w:bookmarkEnd w:id="0"/>
    <w:p w14:paraId="018C5FE7" w14:textId="77777777" w:rsidR="008750F1" w:rsidRPr="00E6466A" w:rsidRDefault="008750F1" w:rsidP="008750F1">
      <w:pPr>
        <w:pStyle w:val="Heading2"/>
      </w:pPr>
      <w:r w:rsidRPr="00E6466A">
        <w:t>Baseline &amp; Alternatives</w:t>
      </w:r>
    </w:p>
    <w:p w14:paraId="0147C81C" w14:textId="333807B5" w:rsidR="008750F1" w:rsidRPr="00E6466A" w:rsidRDefault="008750F1" w:rsidP="008750F1">
      <w:r w:rsidRPr="00E6466A">
        <w:t xml:space="preserve">The analysis compares the Baseline Scenario (without the </w:t>
      </w:r>
      <w:r w:rsidR="00974FAA">
        <w:t>BUILD</w:t>
      </w:r>
      <w:r w:rsidRPr="00E6466A">
        <w:t xml:space="preserve"> Grant) to the Preferred Scenario (with the </w:t>
      </w:r>
      <w:r w:rsidR="00974FAA">
        <w:t>BUILD</w:t>
      </w:r>
      <w:r w:rsidRPr="00E6466A">
        <w:t xml:space="preserve"> Grant). The Baseline Scenario assumes </w:t>
      </w:r>
      <w:r>
        <w:t>the existing at-grade intersections and rail crossings are retained and maintained</w:t>
      </w:r>
      <w:r w:rsidRPr="00E6466A">
        <w:t xml:space="preserve">. </w:t>
      </w:r>
    </w:p>
    <w:p w14:paraId="39D48D93" w14:textId="77777777" w:rsidR="008750F1" w:rsidRDefault="008750F1" w:rsidP="008750F1">
      <w:r w:rsidRPr="00E6466A">
        <w:t xml:space="preserve">The Preferred Scenario includes all aspects of the </w:t>
      </w:r>
      <w:r w:rsidRPr="009165F2">
        <w:t>US 85/120th Avenue Grade-Separation and Interchange</w:t>
      </w:r>
      <w:r>
        <w:t xml:space="preserve"> </w:t>
      </w:r>
      <w:r w:rsidRPr="00E6466A">
        <w:t>Project</w:t>
      </w:r>
      <w:r>
        <w:t>:</w:t>
      </w:r>
      <w:r w:rsidRPr="00E6466A">
        <w:t xml:space="preserve"> </w:t>
      </w:r>
    </w:p>
    <w:p w14:paraId="2A48169B" w14:textId="77777777" w:rsidR="008750F1" w:rsidRDefault="008750F1" w:rsidP="008750F1">
      <w:pPr>
        <w:pStyle w:val="MemorandumBullet1"/>
      </w:pPr>
      <w:r>
        <w:t>Construction of a diverging diamond interchange at US 85/120</w:t>
      </w:r>
      <w:r w:rsidRPr="00086379">
        <w:rPr>
          <w:vertAlign w:val="superscript"/>
        </w:rPr>
        <w:t>th</w:t>
      </w:r>
      <w:r>
        <w:t xml:space="preserve"> Avenue that provides grade separation of the vehicle and rail movements.</w:t>
      </w:r>
    </w:p>
    <w:p w14:paraId="2A980D81" w14:textId="77777777" w:rsidR="008750F1" w:rsidRDefault="008750F1" w:rsidP="008750F1">
      <w:pPr>
        <w:pStyle w:val="MemorandumBulletLAST"/>
      </w:pPr>
      <w:r>
        <w:t>Closure of the US 85/124</w:t>
      </w:r>
      <w:r w:rsidRPr="00A618E2">
        <w:rPr>
          <w:vertAlign w:val="superscript"/>
        </w:rPr>
        <w:t>th</w:t>
      </w:r>
      <w:r>
        <w:t xml:space="preserve"> Avenue intersection and converts the existing 124</w:t>
      </w:r>
      <w:r w:rsidRPr="00B274F6">
        <w:rPr>
          <w:vertAlign w:val="superscript"/>
        </w:rPr>
        <w:t>th</w:t>
      </w:r>
      <w:r>
        <w:t xml:space="preserve"> Avenue public at-grade crossing to a private crossing.</w:t>
      </w:r>
    </w:p>
    <w:p w14:paraId="7359FD3A" w14:textId="77777777" w:rsidR="00D24F9F" w:rsidRDefault="00D24F9F" w:rsidP="00D24F9F">
      <w:pPr>
        <w:pStyle w:val="Heading3"/>
      </w:pPr>
      <w:r>
        <w:t>Demand Forecasting</w:t>
      </w:r>
    </w:p>
    <w:p w14:paraId="5E5494E0" w14:textId="77777777" w:rsidR="00D24F9F" w:rsidRPr="00E6466A" w:rsidRDefault="00D24F9F" w:rsidP="00D24F9F">
      <w:r w:rsidRPr="00E6466A">
        <w:t xml:space="preserve">The analysis incorporates traffic volumes and travel demand modeling from the Denver Regional Council of Governments (DRCOG) travel demand model as the basis for developing the Baseline and Preferred Scenarios. </w:t>
      </w:r>
    </w:p>
    <w:p w14:paraId="6DE04A7C" w14:textId="77777777" w:rsidR="00D24F9F" w:rsidRPr="00E6466A" w:rsidRDefault="00D24F9F" w:rsidP="00D24F9F">
      <w:r w:rsidRPr="00E6466A">
        <w:lastRenderedPageBreak/>
        <w:t xml:space="preserve">Travel demand model outputs for 2015 and 2040 were adjusted using available daily and peak hour count data recorded in support of the </w:t>
      </w:r>
      <w:r w:rsidRPr="009165F2">
        <w:t>US 85/120th Avenue Grade-Separation and Interchange</w:t>
      </w:r>
      <w:r>
        <w:t xml:space="preserve"> </w:t>
      </w:r>
      <w:r w:rsidRPr="00E6466A">
        <w:t xml:space="preserve">Project and available from the Colorado Department of Transportation (CDOT) Online Transportation Information System (OTIS). </w:t>
      </w:r>
    </w:p>
    <w:p w14:paraId="36D754F8" w14:textId="77777777" w:rsidR="0049630A" w:rsidRDefault="008024F8" w:rsidP="0049630A">
      <w:r w:rsidRPr="00E6466A">
        <w:t>The 2017 Preferred Scenario traffic volumes were estimated using the Baseline Scenario growth factor from 2017 to 2040 to back-calculate 2017 Preferred Scenario volumes from the 2040 Preferred Scenario volumes.</w:t>
      </w:r>
      <w:r w:rsidR="0049630A">
        <w:t xml:space="preserve"> </w:t>
      </w:r>
    </w:p>
    <w:p w14:paraId="4510A791" w14:textId="040E6222" w:rsidR="0049630A" w:rsidRDefault="0049630A" w:rsidP="0049630A">
      <w:r w:rsidRPr="00E6466A">
        <w:t>AM and PM peak hour traffic approach volumes for years 2018-2039 and for years 2041-205</w:t>
      </w:r>
      <w:r>
        <w:t>5</w:t>
      </w:r>
      <w:r w:rsidRPr="00E6466A">
        <w:t xml:space="preserve"> were estimated using straight line interpolation. </w:t>
      </w:r>
    </w:p>
    <w:p w14:paraId="3987E6C4" w14:textId="224F2DCA" w:rsidR="00974FAA" w:rsidRDefault="00974FAA" w:rsidP="0049630A">
      <w:r>
        <w:t>There is a current effort under</w:t>
      </w:r>
      <w:r w:rsidR="00F012A9">
        <w:t xml:space="preserve">way, at the time of developing this BCA, to update the traffic analysis and projections. Because the current effort had not developed </w:t>
      </w:r>
      <w:r w:rsidR="00CC3B7A">
        <w:t>updated existing conditions or future forecasts, this BCA analysis relied on the most recently completed and available analysis, from 2017.</w:t>
      </w:r>
    </w:p>
    <w:p w14:paraId="3D97ECA6" w14:textId="77777777" w:rsidR="00EB0DF2" w:rsidRPr="00E6466A" w:rsidRDefault="00EB0DF2" w:rsidP="00EB0DF2">
      <w:pPr>
        <w:pStyle w:val="Heading2"/>
      </w:pPr>
      <w:bookmarkStart w:id="1" w:name="_Ref88139760"/>
      <w:r>
        <w:t>Annualization Factor</w:t>
      </w:r>
      <w:bookmarkEnd w:id="1"/>
    </w:p>
    <w:p w14:paraId="085E6B48" w14:textId="77777777" w:rsidR="00EB0DF2" w:rsidRPr="00E6466A" w:rsidRDefault="00EB0DF2" w:rsidP="00EB0DF2">
      <w:bookmarkStart w:id="2" w:name="_Ref42003822"/>
      <w:r w:rsidRPr="00E6466A">
        <w:t>This analysis considers the annualized benefits and costs associated with the</w:t>
      </w:r>
      <w:r w:rsidRPr="00163338">
        <w:t xml:space="preserve"> </w:t>
      </w:r>
      <w:r w:rsidRPr="009165F2">
        <w:t>US 85/120th Avenue Grade-Separation and Interchange</w:t>
      </w:r>
      <w:r>
        <w:t xml:space="preserve"> </w:t>
      </w:r>
      <w:r w:rsidRPr="00E6466A">
        <w:t xml:space="preserve">Project. An annualization factor was calculated using historic traffic data from the nearest CDOT OTIS continuous counter on US 85 north of Weld County Road 18 (Station ID: 103694). </w:t>
      </w:r>
    </w:p>
    <w:p w14:paraId="29466DDE" w14:textId="67C8C5E6" w:rsidR="00EB0DF2" w:rsidRPr="00E6466A" w:rsidRDefault="00EB0DF2" w:rsidP="00EB0DF2">
      <w:r w:rsidRPr="00E6466A">
        <w:t xml:space="preserve">The </w:t>
      </w:r>
      <w:r w:rsidR="00E77D80" w:rsidRPr="00E6466A">
        <w:t>annual average daily traffic in 2025</w:t>
      </w:r>
      <w:r w:rsidRPr="00E6466A">
        <w:t xml:space="preserve"> was approximately </w:t>
      </w:r>
      <w:r w:rsidR="00E77D80">
        <w:t>21,400</w:t>
      </w:r>
      <w:r w:rsidRPr="00E6466A">
        <w:t xml:space="preserve"> vehicles per day. </w:t>
      </w:r>
    </w:p>
    <w:p w14:paraId="0DF1A6C8" w14:textId="3441DBC1" w:rsidR="00EB0DF2" w:rsidRPr="00E6466A" w:rsidRDefault="00022D3F" w:rsidP="00022D3F">
      <w:pPr>
        <w:pStyle w:val="Caption"/>
      </w:pPr>
      <w:bookmarkStart w:id="3" w:name="_Ref158878602"/>
      <w:bookmarkEnd w:id="2"/>
      <w:r>
        <w:t xml:space="preserve">Table </w:t>
      </w:r>
      <w:r>
        <w:fldChar w:fldCharType="begin"/>
      </w:r>
      <w:r>
        <w:instrText xml:space="preserve"> SEQ Table \* ARABIC </w:instrText>
      </w:r>
      <w:r>
        <w:fldChar w:fldCharType="separate"/>
      </w:r>
      <w:r w:rsidR="00896659">
        <w:rPr>
          <w:noProof/>
        </w:rPr>
        <w:t>1</w:t>
      </w:r>
      <w:r>
        <w:fldChar w:fldCharType="end"/>
      </w:r>
      <w:bookmarkEnd w:id="3"/>
      <w:r w:rsidR="00EB0DF2" w:rsidRPr="00E6466A">
        <w:t>.</w:t>
      </w:r>
      <w:r w:rsidR="00EB0DF2" w:rsidRPr="00E6466A">
        <w:tab/>
        <w:t>20</w:t>
      </w:r>
      <w:r w:rsidR="00D91B38">
        <w:t>2</w:t>
      </w:r>
      <w:r w:rsidR="00E77D80">
        <w:t>5</w:t>
      </w:r>
      <w:r w:rsidR="00EB0DF2" w:rsidRPr="00E6466A">
        <w:t xml:space="preserve"> ADT by Day of Week</w:t>
      </w:r>
    </w:p>
    <w:tbl>
      <w:tblPr>
        <w:tblStyle w:val="TableGrid"/>
        <w:tblW w:w="5000" w:type="pct"/>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ook w:val="04A0" w:firstRow="1" w:lastRow="0" w:firstColumn="1" w:lastColumn="0" w:noHBand="0" w:noVBand="1"/>
      </w:tblPr>
      <w:tblGrid>
        <w:gridCol w:w="1509"/>
        <w:gridCol w:w="992"/>
        <w:gridCol w:w="1059"/>
        <w:gridCol w:w="1108"/>
        <w:gridCol w:w="1468"/>
        <w:gridCol w:w="1218"/>
        <w:gridCol w:w="1121"/>
        <w:gridCol w:w="1173"/>
      </w:tblGrid>
      <w:tr w:rsidR="00EB0DF2" w:rsidRPr="00E6466A" w14:paraId="1ABF06B2" w14:textId="77777777" w:rsidTr="00BE57AB">
        <w:tc>
          <w:tcPr>
            <w:tcW w:w="782" w:type="pct"/>
            <w:shd w:val="clear" w:color="auto" w:fill="D29F13" w:themeFill="accent4"/>
            <w:vAlign w:val="center"/>
          </w:tcPr>
          <w:p w14:paraId="0A9804ED" w14:textId="77777777" w:rsidR="00EB0DF2" w:rsidRPr="00E6466A" w:rsidRDefault="00EB0DF2" w:rsidP="00BE57AB">
            <w:pPr>
              <w:pStyle w:val="TableHeading"/>
            </w:pPr>
          </w:p>
        </w:tc>
        <w:tc>
          <w:tcPr>
            <w:tcW w:w="514" w:type="pct"/>
            <w:shd w:val="clear" w:color="auto" w:fill="D29F13" w:themeFill="accent4"/>
            <w:vAlign w:val="center"/>
          </w:tcPr>
          <w:p w14:paraId="0501A968" w14:textId="77777777" w:rsidR="00EB0DF2" w:rsidRPr="00E6466A" w:rsidRDefault="00EB0DF2" w:rsidP="00BE57AB">
            <w:pPr>
              <w:pStyle w:val="TableHeading"/>
            </w:pPr>
            <w:r w:rsidRPr="00E6466A">
              <w:t>Sunday</w:t>
            </w:r>
          </w:p>
        </w:tc>
        <w:tc>
          <w:tcPr>
            <w:tcW w:w="549" w:type="pct"/>
            <w:shd w:val="clear" w:color="auto" w:fill="D29F13" w:themeFill="accent4"/>
            <w:vAlign w:val="center"/>
          </w:tcPr>
          <w:p w14:paraId="2BCC9BD4" w14:textId="77777777" w:rsidR="00EB0DF2" w:rsidRPr="00E6466A" w:rsidRDefault="00EB0DF2" w:rsidP="00BE57AB">
            <w:pPr>
              <w:pStyle w:val="TableHeading"/>
            </w:pPr>
            <w:r w:rsidRPr="00E6466A">
              <w:t>Monday</w:t>
            </w:r>
          </w:p>
        </w:tc>
        <w:tc>
          <w:tcPr>
            <w:tcW w:w="574" w:type="pct"/>
            <w:shd w:val="clear" w:color="auto" w:fill="D29F13" w:themeFill="accent4"/>
            <w:vAlign w:val="center"/>
          </w:tcPr>
          <w:p w14:paraId="6382CB76" w14:textId="77777777" w:rsidR="00EB0DF2" w:rsidRPr="00E6466A" w:rsidRDefault="00EB0DF2" w:rsidP="00BE57AB">
            <w:pPr>
              <w:pStyle w:val="TableHeading"/>
            </w:pPr>
            <w:r w:rsidRPr="00E6466A">
              <w:t>Tuesday</w:t>
            </w:r>
          </w:p>
        </w:tc>
        <w:tc>
          <w:tcPr>
            <w:tcW w:w="761" w:type="pct"/>
            <w:shd w:val="clear" w:color="auto" w:fill="D29F13" w:themeFill="accent4"/>
            <w:vAlign w:val="center"/>
          </w:tcPr>
          <w:p w14:paraId="2BC45798" w14:textId="77777777" w:rsidR="00EB0DF2" w:rsidRPr="00E6466A" w:rsidRDefault="00EB0DF2" w:rsidP="00BE57AB">
            <w:pPr>
              <w:pStyle w:val="TableHeading"/>
            </w:pPr>
            <w:r w:rsidRPr="00E6466A">
              <w:t>Wednesday</w:t>
            </w:r>
          </w:p>
        </w:tc>
        <w:tc>
          <w:tcPr>
            <w:tcW w:w="631" w:type="pct"/>
            <w:shd w:val="clear" w:color="auto" w:fill="D29F13" w:themeFill="accent4"/>
          </w:tcPr>
          <w:p w14:paraId="26612103" w14:textId="77777777" w:rsidR="00EB0DF2" w:rsidRPr="00E6466A" w:rsidRDefault="00EB0DF2" w:rsidP="00BE57AB">
            <w:pPr>
              <w:pStyle w:val="TableHeading"/>
            </w:pPr>
            <w:r w:rsidRPr="00E6466A">
              <w:t>Thursday</w:t>
            </w:r>
          </w:p>
        </w:tc>
        <w:tc>
          <w:tcPr>
            <w:tcW w:w="581" w:type="pct"/>
            <w:shd w:val="clear" w:color="auto" w:fill="D29F13" w:themeFill="accent4"/>
            <w:vAlign w:val="center"/>
          </w:tcPr>
          <w:p w14:paraId="773C2BCE" w14:textId="77777777" w:rsidR="00EB0DF2" w:rsidRPr="00E6466A" w:rsidRDefault="00EB0DF2" w:rsidP="00BE57AB">
            <w:pPr>
              <w:pStyle w:val="TableHeading"/>
            </w:pPr>
            <w:r w:rsidRPr="00E6466A">
              <w:t>Friday</w:t>
            </w:r>
          </w:p>
        </w:tc>
        <w:tc>
          <w:tcPr>
            <w:tcW w:w="608" w:type="pct"/>
            <w:shd w:val="clear" w:color="auto" w:fill="D29F13" w:themeFill="accent4"/>
          </w:tcPr>
          <w:p w14:paraId="5A69751F" w14:textId="77777777" w:rsidR="00EB0DF2" w:rsidRPr="00E6466A" w:rsidRDefault="00EB0DF2" w:rsidP="00BE57AB">
            <w:pPr>
              <w:pStyle w:val="TableHeading"/>
            </w:pPr>
            <w:r w:rsidRPr="00E6466A">
              <w:t>Saturday</w:t>
            </w:r>
          </w:p>
        </w:tc>
      </w:tr>
      <w:tr w:rsidR="00EB0DF2" w:rsidRPr="00E6466A" w14:paraId="45E38519" w14:textId="77777777" w:rsidTr="00BE57AB">
        <w:tc>
          <w:tcPr>
            <w:tcW w:w="782" w:type="pct"/>
            <w:vAlign w:val="bottom"/>
          </w:tcPr>
          <w:p w14:paraId="2D70ABBD" w14:textId="77777777" w:rsidR="00EB0DF2" w:rsidRPr="00E6466A" w:rsidRDefault="00EB0DF2" w:rsidP="00BE57AB">
            <w:pPr>
              <w:pStyle w:val="TableText"/>
              <w:jc w:val="center"/>
            </w:pPr>
            <w:r w:rsidRPr="00E6466A">
              <w:t>ADT</w:t>
            </w:r>
          </w:p>
        </w:tc>
        <w:tc>
          <w:tcPr>
            <w:tcW w:w="514" w:type="pct"/>
            <w:vAlign w:val="center"/>
          </w:tcPr>
          <w:p w14:paraId="567939AA" w14:textId="7B6E8F55" w:rsidR="00EB0DF2" w:rsidRPr="00E6466A" w:rsidRDefault="00AE38CC" w:rsidP="00BE57AB">
            <w:pPr>
              <w:pStyle w:val="TableText"/>
              <w:jc w:val="center"/>
            </w:pPr>
            <w:r>
              <w:t>21,700</w:t>
            </w:r>
          </w:p>
        </w:tc>
        <w:tc>
          <w:tcPr>
            <w:tcW w:w="549" w:type="pct"/>
            <w:vAlign w:val="center"/>
          </w:tcPr>
          <w:p w14:paraId="03A61DF5" w14:textId="6197B409" w:rsidR="00EB0DF2" w:rsidRPr="00E6466A" w:rsidRDefault="00AE38CC" w:rsidP="00BE57AB">
            <w:pPr>
              <w:pStyle w:val="TableText"/>
              <w:jc w:val="center"/>
              <w:rPr>
                <w:color w:val="000000"/>
                <w:szCs w:val="20"/>
              </w:rPr>
            </w:pPr>
            <w:r>
              <w:rPr>
                <w:color w:val="000000"/>
                <w:szCs w:val="20"/>
              </w:rPr>
              <w:t>22,400</w:t>
            </w:r>
          </w:p>
        </w:tc>
        <w:tc>
          <w:tcPr>
            <w:tcW w:w="574" w:type="pct"/>
            <w:vAlign w:val="center"/>
          </w:tcPr>
          <w:p w14:paraId="16D7E266" w14:textId="1729F5FD" w:rsidR="00EB0DF2" w:rsidRPr="00E6466A" w:rsidRDefault="00AE38CC" w:rsidP="00BE57AB">
            <w:pPr>
              <w:pStyle w:val="TableText"/>
              <w:jc w:val="center"/>
              <w:rPr>
                <w:color w:val="000000"/>
                <w:szCs w:val="20"/>
              </w:rPr>
            </w:pPr>
            <w:r>
              <w:rPr>
                <w:color w:val="000000"/>
                <w:szCs w:val="20"/>
              </w:rPr>
              <w:t>22,300</w:t>
            </w:r>
          </w:p>
        </w:tc>
        <w:tc>
          <w:tcPr>
            <w:tcW w:w="761" w:type="pct"/>
            <w:vAlign w:val="center"/>
          </w:tcPr>
          <w:p w14:paraId="731524D7" w14:textId="103D9445" w:rsidR="00EB0DF2" w:rsidRPr="00E6466A" w:rsidRDefault="008E5648" w:rsidP="00BE57AB">
            <w:pPr>
              <w:pStyle w:val="TableText"/>
              <w:jc w:val="center"/>
              <w:rPr>
                <w:color w:val="000000"/>
                <w:szCs w:val="20"/>
              </w:rPr>
            </w:pPr>
            <w:r>
              <w:rPr>
                <w:color w:val="000000"/>
                <w:szCs w:val="20"/>
              </w:rPr>
              <w:t>23,200</w:t>
            </w:r>
          </w:p>
        </w:tc>
        <w:tc>
          <w:tcPr>
            <w:tcW w:w="631" w:type="pct"/>
          </w:tcPr>
          <w:p w14:paraId="0D333861" w14:textId="18250FA4" w:rsidR="00EB0DF2" w:rsidRPr="00E6466A" w:rsidRDefault="008E5648" w:rsidP="00BE57AB">
            <w:pPr>
              <w:pStyle w:val="TableText"/>
              <w:jc w:val="center"/>
              <w:rPr>
                <w:color w:val="000000"/>
                <w:szCs w:val="20"/>
              </w:rPr>
            </w:pPr>
            <w:r>
              <w:rPr>
                <w:color w:val="000000"/>
                <w:szCs w:val="20"/>
              </w:rPr>
              <w:t>24,200</w:t>
            </w:r>
          </w:p>
        </w:tc>
        <w:tc>
          <w:tcPr>
            <w:tcW w:w="581" w:type="pct"/>
            <w:vAlign w:val="center"/>
          </w:tcPr>
          <w:p w14:paraId="0106A6DA" w14:textId="6D395174" w:rsidR="00EB0DF2" w:rsidRPr="00E6466A" w:rsidRDefault="008E5648" w:rsidP="00BE57AB">
            <w:pPr>
              <w:pStyle w:val="TableText"/>
              <w:jc w:val="center"/>
              <w:rPr>
                <w:color w:val="000000"/>
                <w:szCs w:val="20"/>
              </w:rPr>
            </w:pPr>
            <w:r>
              <w:rPr>
                <w:color w:val="000000"/>
                <w:szCs w:val="20"/>
              </w:rPr>
              <w:t>20,100</w:t>
            </w:r>
          </w:p>
        </w:tc>
        <w:tc>
          <w:tcPr>
            <w:tcW w:w="608" w:type="pct"/>
          </w:tcPr>
          <w:p w14:paraId="773BA2DA" w14:textId="4C2CDF71" w:rsidR="00EB0DF2" w:rsidRPr="00E6466A" w:rsidRDefault="008E5648" w:rsidP="00BE57AB">
            <w:pPr>
              <w:pStyle w:val="TableText"/>
              <w:jc w:val="center"/>
              <w:rPr>
                <w:color w:val="000000"/>
                <w:szCs w:val="20"/>
              </w:rPr>
            </w:pPr>
            <w:r>
              <w:rPr>
                <w:color w:val="000000"/>
                <w:szCs w:val="20"/>
              </w:rPr>
              <w:t>15,900</w:t>
            </w:r>
          </w:p>
        </w:tc>
      </w:tr>
    </w:tbl>
    <w:p w14:paraId="3180FD7E" w14:textId="6C34D2B8" w:rsidR="00EB0DF2" w:rsidRPr="00E6466A" w:rsidRDefault="00EB0DF2" w:rsidP="00EB0DF2">
      <w:r w:rsidRPr="00E6466A">
        <w:t xml:space="preserve">As shown </w:t>
      </w:r>
      <w:r>
        <w:t xml:space="preserve">in </w:t>
      </w:r>
      <w:r w:rsidR="007E1811">
        <w:rPr>
          <w:b/>
          <w:bCs/>
        </w:rPr>
        <w:fldChar w:fldCharType="begin"/>
      </w:r>
      <w:r w:rsidR="007E1811">
        <w:instrText xml:space="preserve"> REF _Ref158878602 \h </w:instrText>
      </w:r>
      <w:r w:rsidR="007E1811">
        <w:rPr>
          <w:b/>
          <w:bCs/>
        </w:rPr>
      </w:r>
      <w:r w:rsidR="007E1811">
        <w:rPr>
          <w:b/>
          <w:bCs/>
        </w:rPr>
        <w:fldChar w:fldCharType="separate"/>
      </w:r>
      <w:r w:rsidR="007E1811">
        <w:t xml:space="preserve">Table </w:t>
      </w:r>
      <w:r w:rsidR="007E1811">
        <w:rPr>
          <w:noProof/>
        </w:rPr>
        <w:t>1</w:t>
      </w:r>
      <w:r w:rsidR="007E1811">
        <w:rPr>
          <w:b/>
          <w:bCs/>
        </w:rPr>
        <w:fldChar w:fldCharType="end"/>
      </w:r>
      <w:r w:rsidRPr="00E6466A">
        <w:t xml:space="preserve">, the US 85 ADT is highest on </w:t>
      </w:r>
      <w:r w:rsidR="007E1811">
        <w:t>Thursday</w:t>
      </w:r>
      <w:r w:rsidRPr="00E6466A">
        <w:t>. Weekday and weekend ADT have been compared to understand weekend traffic as a percentage of weekday traffic.</w:t>
      </w:r>
    </w:p>
    <w:p w14:paraId="3C8998B3" w14:textId="112F081F" w:rsidR="00EB0DF2" w:rsidRPr="00E6466A" w:rsidRDefault="00022D3F" w:rsidP="00022D3F">
      <w:pPr>
        <w:pStyle w:val="Caption"/>
      </w:pPr>
      <w:r>
        <w:t xml:space="preserve">Table </w:t>
      </w:r>
      <w:r>
        <w:fldChar w:fldCharType="begin"/>
      </w:r>
      <w:r>
        <w:instrText xml:space="preserve"> SEQ Table \* ARABIC </w:instrText>
      </w:r>
      <w:r>
        <w:fldChar w:fldCharType="separate"/>
      </w:r>
      <w:r w:rsidR="00896659">
        <w:rPr>
          <w:noProof/>
        </w:rPr>
        <w:t>2</w:t>
      </w:r>
      <w:r>
        <w:fldChar w:fldCharType="end"/>
      </w:r>
      <w:r w:rsidR="00EB0DF2" w:rsidRPr="00E6466A">
        <w:t>.</w:t>
      </w:r>
      <w:r w:rsidR="00EB0DF2" w:rsidRPr="00E6466A">
        <w:tab/>
        <w:t>Weekday vs. Weekend ADT Comparison</w:t>
      </w:r>
    </w:p>
    <w:tbl>
      <w:tblPr>
        <w:tblStyle w:val="TableGrid"/>
        <w:tblW w:w="5000" w:type="pct"/>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ook w:val="04A0" w:firstRow="1" w:lastRow="0" w:firstColumn="1" w:lastColumn="0" w:noHBand="0" w:noVBand="1"/>
      </w:tblPr>
      <w:tblGrid>
        <w:gridCol w:w="3525"/>
        <w:gridCol w:w="1856"/>
        <w:gridCol w:w="2042"/>
        <w:gridCol w:w="2225"/>
      </w:tblGrid>
      <w:tr w:rsidR="00EB0DF2" w:rsidRPr="00E6466A" w14:paraId="45DF183A" w14:textId="77777777" w:rsidTr="00BE57AB">
        <w:tc>
          <w:tcPr>
            <w:tcW w:w="1827" w:type="pct"/>
            <w:tcBorders>
              <w:top w:val="single" w:sz="12" w:space="0" w:color="D29F13" w:themeColor="accent4"/>
              <w:bottom w:val="single" w:sz="4" w:space="0" w:color="425563"/>
            </w:tcBorders>
            <w:vAlign w:val="bottom"/>
          </w:tcPr>
          <w:p w14:paraId="05B3E146" w14:textId="77777777" w:rsidR="00EB0DF2" w:rsidRPr="00E6466A" w:rsidRDefault="00EB0DF2" w:rsidP="00BE57AB">
            <w:pPr>
              <w:pStyle w:val="TableText"/>
              <w:jc w:val="center"/>
            </w:pPr>
            <w:r w:rsidRPr="00E6466A">
              <w:t>Weekday Days</w:t>
            </w:r>
          </w:p>
        </w:tc>
        <w:tc>
          <w:tcPr>
            <w:tcW w:w="962" w:type="pct"/>
            <w:tcBorders>
              <w:top w:val="single" w:sz="12" w:space="0" w:color="D29F13" w:themeColor="accent4"/>
              <w:bottom w:val="single" w:sz="4" w:space="0" w:color="425563"/>
            </w:tcBorders>
          </w:tcPr>
          <w:p w14:paraId="60D5F087" w14:textId="77777777" w:rsidR="00EB0DF2" w:rsidRPr="00E6466A" w:rsidRDefault="00EB0DF2" w:rsidP="00BE57AB">
            <w:pPr>
              <w:pStyle w:val="TableText"/>
              <w:jc w:val="center"/>
            </w:pPr>
            <w:r w:rsidRPr="00E6466A">
              <w:t>Monday-Thursday</w:t>
            </w:r>
          </w:p>
        </w:tc>
        <w:tc>
          <w:tcPr>
            <w:tcW w:w="1058" w:type="pct"/>
            <w:tcBorders>
              <w:top w:val="single" w:sz="12" w:space="0" w:color="D29F13" w:themeColor="accent4"/>
              <w:bottom w:val="single" w:sz="4" w:space="0" w:color="425563"/>
            </w:tcBorders>
            <w:vAlign w:val="center"/>
          </w:tcPr>
          <w:p w14:paraId="0A794A6E" w14:textId="77777777" w:rsidR="00EB0DF2" w:rsidRPr="00E6466A" w:rsidRDefault="00EB0DF2" w:rsidP="00BE57AB">
            <w:pPr>
              <w:pStyle w:val="TableText"/>
              <w:jc w:val="center"/>
            </w:pPr>
            <w:r w:rsidRPr="00E6466A">
              <w:t>Tuesday-Thursday</w:t>
            </w:r>
          </w:p>
        </w:tc>
        <w:tc>
          <w:tcPr>
            <w:tcW w:w="1153" w:type="pct"/>
            <w:tcBorders>
              <w:top w:val="single" w:sz="12" w:space="0" w:color="D29F13" w:themeColor="accent4"/>
              <w:bottom w:val="single" w:sz="4" w:space="0" w:color="425563"/>
            </w:tcBorders>
            <w:vAlign w:val="center"/>
          </w:tcPr>
          <w:p w14:paraId="6A291A33" w14:textId="77777777" w:rsidR="00EB0DF2" w:rsidRPr="00E6466A" w:rsidRDefault="00EB0DF2" w:rsidP="00BE57AB">
            <w:pPr>
              <w:pStyle w:val="TableText"/>
              <w:jc w:val="center"/>
              <w:rPr>
                <w:color w:val="000000"/>
                <w:szCs w:val="20"/>
              </w:rPr>
            </w:pPr>
            <w:r w:rsidRPr="00E6466A">
              <w:rPr>
                <w:color w:val="000000"/>
                <w:szCs w:val="20"/>
              </w:rPr>
              <w:t>Monday-Friday</w:t>
            </w:r>
          </w:p>
        </w:tc>
      </w:tr>
      <w:tr w:rsidR="00EB0DF2" w:rsidRPr="00E6466A" w14:paraId="77AC8E40" w14:textId="77777777" w:rsidTr="00BE57AB">
        <w:tc>
          <w:tcPr>
            <w:tcW w:w="1827" w:type="pct"/>
            <w:tcBorders>
              <w:top w:val="single" w:sz="4" w:space="0" w:color="425563"/>
            </w:tcBorders>
            <w:vAlign w:val="bottom"/>
          </w:tcPr>
          <w:p w14:paraId="1AB15306" w14:textId="77777777" w:rsidR="00EB0DF2" w:rsidRPr="00E6466A" w:rsidRDefault="00EB0DF2" w:rsidP="00BE57AB">
            <w:pPr>
              <w:pStyle w:val="TableText"/>
              <w:jc w:val="center"/>
            </w:pPr>
            <w:r w:rsidRPr="00E6466A">
              <w:t>Weekend Days</w:t>
            </w:r>
          </w:p>
        </w:tc>
        <w:tc>
          <w:tcPr>
            <w:tcW w:w="962" w:type="pct"/>
            <w:tcBorders>
              <w:top w:val="single" w:sz="4" w:space="0" w:color="425563"/>
            </w:tcBorders>
          </w:tcPr>
          <w:p w14:paraId="1FCABA83" w14:textId="77777777" w:rsidR="00EB0DF2" w:rsidRPr="00E6466A" w:rsidRDefault="00EB0DF2" w:rsidP="00BE57AB">
            <w:pPr>
              <w:pStyle w:val="TableText"/>
              <w:jc w:val="center"/>
            </w:pPr>
            <w:r w:rsidRPr="00E6466A">
              <w:t>Friday-Sunday</w:t>
            </w:r>
          </w:p>
        </w:tc>
        <w:tc>
          <w:tcPr>
            <w:tcW w:w="1058" w:type="pct"/>
            <w:tcBorders>
              <w:top w:val="single" w:sz="4" w:space="0" w:color="425563"/>
            </w:tcBorders>
            <w:vAlign w:val="center"/>
          </w:tcPr>
          <w:p w14:paraId="3F62094F" w14:textId="2929C4F5" w:rsidR="00EB0DF2" w:rsidRPr="00E6466A" w:rsidRDefault="00BE53A5" w:rsidP="00BE57AB">
            <w:pPr>
              <w:pStyle w:val="TableText"/>
              <w:jc w:val="center"/>
            </w:pPr>
            <w:r>
              <w:t>Friday</w:t>
            </w:r>
            <w:r w:rsidR="00EB0DF2" w:rsidRPr="00E6466A">
              <w:t>-</w:t>
            </w:r>
            <w:r>
              <w:t>Monday</w:t>
            </w:r>
          </w:p>
        </w:tc>
        <w:tc>
          <w:tcPr>
            <w:tcW w:w="1153" w:type="pct"/>
            <w:tcBorders>
              <w:top w:val="single" w:sz="4" w:space="0" w:color="425563"/>
            </w:tcBorders>
            <w:vAlign w:val="center"/>
          </w:tcPr>
          <w:p w14:paraId="2F0BEDBF" w14:textId="77777777" w:rsidR="00EB0DF2" w:rsidRPr="00E6466A" w:rsidRDefault="00EB0DF2" w:rsidP="00BE57AB">
            <w:pPr>
              <w:pStyle w:val="TableText"/>
              <w:jc w:val="center"/>
              <w:rPr>
                <w:color w:val="000000"/>
                <w:szCs w:val="20"/>
              </w:rPr>
            </w:pPr>
            <w:r w:rsidRPr="00E6466A">
              <w:rPr>
                <w:color w:val="000000"/>
                <w:szCs w:val="20"/>
              </w:rPr>
              <w:t>Saturday-Sunday</w:t>
            </w:r>
          </w:p>
        </w:tc>
      </w:tr>
      <w:tr w:rsidR="00EB0DF2" w:rsidRPr="00E6466A" w14:paraId="070E62DD" w14:textId="77777777" w:rsidTr="00BE57AB">
        <w:tc>
          <w:tcPr>
            <w:tcW w:w="1827" w:type="pct"/>
            <w:tcBorders>
              <w:bottom w:val="single" w:sz="12" w:space="0" w:color="D29F13" w:themeColor="accent4"/>
            </w:tcBorders>
            <w:vAlign w:val="bottom"/>
          </w:tcPr>
          <w:p w14:paraId="31DA3399" w14:textId="77777777" w:rsidR="00EB0DF2" w:rsidRPr="00E6466A" w:rsidRDefault="00EB0DF2" w:rsidP="00BE57AB">
            <w:pPr>
              <w:pStyle w:val="TableText"/>
              <w:jc w:val="center"/>
            </w:pPr>
            <w:r w:rsidRPr="00E6466A">
              <w:t>Weekend ADT as % of Weekday ADT</w:t>
            </w:r>
          </w:p>
        </w:tc>
        <w:tc>
          <w:tcPr>
            <w:tcW w:w="962" w:type="pct"/>
            <w:tcBorders>
              <w:bottom w:val="single" w:sz="12" w:space="0" w:color="D29F13" w:themeColor="accent4"/>
            </w:tcBorders>
          </w:tcPr>
          <w:p w14:paraId="1AFA4249" w14:textId="754126B1" w:rsidR="00EB0DF2" w:rsidRPr="00E6466A" w:rsidRDefault="008E5648" w:rsidP="00BE57AB">
            <w:pPr>
              <w:pStyle w:val="TableText"/>
              <w:jc w:val="center"/>
            </w:pPr>
            <w:r>
              <w:t>84</w:t>
            </w:r>
            <w:r w:rsidR="00EB0DF2" w:rsidRPr="00E6466A">
              <w:t>%</w:t>
            </w:r>
          </w:p>
        </w:tc>
        <w:tc>
          <w:tcPr>
            <w:tcW w:w="1058" w:type="pct"/>
            <w:tcBorders>
              <w:bottom w:val="single" w:sz="12" w:space="0" w:color="D29F13" w:themeColor="accent4"/>
            </w:tcBorders>
            <w:vAlign w:val="center"/>
          </w:tcPr>
          <w:p w14:paraId="0DCDABDC" w14:textId="0072DA3F" w:rsidR="00EB0DF2" w:rsidRPr="00E6466A" w:rsidRDefault="004E05C5" w:rsidP="00BE57AB">
            <w:pPr>
              <w:pStyle w:val="TableText"/>
              <w:jc w:val="center"/>
            </w:pPr>
            <w:r>
              <w:t>81</w:t>
            </w:r>
            <w:r w:rsidR="00EB0DF2" w:rsidRPr="00E6466A">
              <w:t>%</w:t>
            </w:r>
          </w:p>
        </w:tc>
        <w:tc>
          <w:tcPr>
            <w:tcW w:w="1153" w:type="pct"/>
            <w:tcBorders>
              <w:bottom w:val="single" w:sz="12" w:space="0" w:color="D29F13" w:themeColor="accent4"/>
            </w:tcBorders>
            <w:vAlign w:val="center"/>
          </w:tcPr>
          <w:p w14:paraId="2646D963" w14:textId="563230FA" w:rsidR="00EB0DF2" w:rsidRPr="00E6466A" w:rsidRDefault="004E05C5" w:rsidP="00BE57AB">
            <w:pPr>
              <w:pStyle w:val="TableText"/>
              <w:jc w:val="center"/>
            </w:pPr>
            <w:r>
              <w:t>84</w:t>
            </w:r>
            <w:r w:rsidR="00EB0DF2" w:rsidRPr="00E6466A">
              <w:t>%</w:t>
            </w:r>
          </w:p>
        </w:tc>
      </w:tr>
    </w:tbl>
    <w:p w14:paraId="4DF37F18" w14:textId="397D7D70" w:rsidR="00EB0DF2" w:rsidRPr="00E6466A" w:rsidRDefault="00EB0DF2" w:rsidP="00EB0DF2">
      <w:r w:rsidRPr="00E6466A">
        <w:t xml:space="preserve">Based on the calculations shown above, this BCA assumed that average weekday daily volumes reflect </w:t>
      </w:r>
      <w:r w:rsidR="004E05C5">
        <w:t>80</w:t>
      </w:r>
      <w:r w:rsidRPr="00E6466A">
        <w:t xml:space="preserve"> percent of weekday daily volumes. Consequently, an annualization factor of 34</w:t>
      </w:r>
      <w:r w:rsidR="004E05C5">
        <w:t>5</w:t>
      </w:r>
      <w:r w:rsidRPr="00E6466A">
        <w:t xml:space="preserve"> days was used to </w:t>
      </w:r>
      <w:r w:rsidR="00FF5203" w:rsidRPr="00E6466A">
        <w:t>calculate</w:t>
      </w:r>
      <w:r w:rsidRPr="00E6466A">
        <w:t xml:space="preserve"> annualized costs and benefits. This annualization factor reflects 260 weekday workdays and </w:t>
      </w:r>
      <w:r w:rsidR="004E05C5">
        <w:t>80</w:t>
      </w:r>
      <w:r w:rsidRPr="00E6466A">
        <w:t xml:space="preserve"> percent of the remaining 105 weekends and holidays (260 plus </w:t>
      </w:r>
      <w:r w:rsidR="00FF5203">
        <w:t>80</w:t>
      </w:r>
      <w:r w:rsidRPr="00E6466A">
        <w:t xml:space="preserve"> percent of 105). </w:t>
      </w:r>
    </w:p>
    <w:p w14:paraId="764502B6" w14:textId="77777777" w:rsidR="00A5029F" w:rsidRPr="00E6466A" w:rsidRDefault="00A5029F" w:rsidP="00A5029F">
      <w:pPr>
        <w:pStyle w:val="Heading2"/>
      </w:pPr>
      <w:r w:rsidRPr="00E6466A">
        <w:t>Inflation Adjustments</w:t>
      </w:r>
    </w:p>
    <w:p w14:paraId="508604AA" w14:textId="360440CF" w:rsidR="00A5029F" w:rsidRPr="00E6466A" w:rsidRDefault="00A5029F" w:rsidP="00A5029F">
      <w:r w:rsidRPr="00E6466A">
        <w:t>Project investments and benefits have been expressed in 20</w:t>
      </w:r>
      <w:r>
        <w:t>2</w:t>
      </w:r>
      <w:r w:rsidR="00FF5203">
        <w:t>4</w:t>
      </w:r>
      <w:r w:rsidRPr="00E6466A">
        <w:t xml:space="preserve"> dollars, as outlined in the USDOT’s Benefit-Cost Analysis Guidance for Discretionary Grant Programs. The Bureau of Economic Analysis, National Income and Products Accounts, Table 1.1.9, “Implicit Price Deflators for Gross Domestic Product” (</w:t>
      </w:r>
      <w:r w:rsidR="00B63687">
        <w:t>September 2025</w:t>
      </w:r>
      <w:r>
        <w:t>)</w:t>
      </w:r>
      <w:r w:rsidRPr="00E6466A">
        <w:t xml:space="preserve"> has been used to bring all values to 20</w:t>
      </w:r>
      <w:r>
        <w:t>2</w:t>
      </w:r>
      <w:r w:rsidR="00B63687">
        <w:t>4</w:t>
      </w:r>
      <w:r w:rsidRPr="00E6466A">
        <w:t xml:space="preserve"> dollars.</w:t>
      </w:r>
    </w:p>
    <w:p w14:paraId="0D02F027" w14:textId="77777777" w:rsidR="00BA6444" w:rsidRPr="00E6466A" w:rsidRDefault="00BA6444" w:rsidP="00BA6444">
      <w:pPr>
        <w:pStyle w:val="Heading2"/>
      </w:pPr>
      <w:r w:rsidRPr="00E6466A">
        <w:t>Discount</w:t>
      </w:r>
      <w:r>
        <w:t>ing</w:t>
      </w:r>
    </w:p>
    <w:p w14:paraId="44C3D352" w14:textId="2187129B" w:rsidR="00BA6444" w:rsidRPr="00E6466A" w:rsidRDefault="00BA6444" w:rsidP="00BA6444">
      <w:r w:rsidRPr="00E6466A">
        <w:t xml:space="preserve">Consistent with the USDOT’s </w:t>
      </w:r>
      <w:r w:rsidRPr="00E6466A">
        <w:rPr>
          <w:i/>
        </w:rPr>
        <w:t>Benefit-Cost Analysis Guidance for Discretionary Grant Programs</w:t>
      </w:r>
      <w:r w:rsidRPr="00E6466A">
        <w:t xml:space="preserve"> and OMB Circular A-94, a real annual discount rate of </w:t>
      </w:r>
      <w:r w:rsidR="002B13D1">
        <w:t xml:space="preserve">7 </w:t>
      </w:r>
      <w:r w:rsidRPr="00E6466A">
        <w:t xml:space="preserve">percent has been applied to discount the benefits and costs to report net present value for the BCA analysis. </w:t>
      </w:r>
    </w:p>
    <w:p w14:paraId="2D295F12" w14:textId="77777777" w:rsidR="000304A4" w:rsidRPr="00E6466A" w:rsidRDefault="000304A4" w:rsidP="000304A4">
      <w:pPr>
        <w:pStyle w:val="Heading2"/>
      </w:pPr>
      <w:r w:rsidRPr="00E6466A">
        <w:lastRenderedPageBreak/>
        <w:t>Analysis Period</w:t>
      </w:r>
    </w:p>
    <w:p w14:paraId="273103B1" w14:textId="77777777" w:rsidR="000304A4" w:rsidRPr="00E6466A" w:rsidRDefault="000304A4" w:rsidP="000304A4">
      <w:r w:rsidRPr="000E509B">
        <w:rPr>
          <w:iCs/>
        </w:rPr>
        <w:t xml:space="preserve">The </w:t>
      </w:r>
      <w:r w:rsidRPr="000E509B">
        <w:t>US 85/120th Avenue Grade-Separation and Interchange Project is a major interchange construction project that will generate vehicular delay and safety benefits by providing a grade separated interchange and highway-rail grade separation at the US 85/120</w:t>
      </w:r>
      <w:r w:rsidRPr="000E509B">
        <w:rPr>
          <w:vertAlign w:val="superscript"/>
        </w:rPr>
        <w:t>th</w:t>
      </w:r>
      <w:r w:rsidRPr="000E509B">
        <w:t xml:space="preserve"> Avenue intersection, and elimination of a highway-rail at-grade crossing at the US 85/124</w:t>
      </w:r>
      <w:r w:rsidRPr="000E509B">
        <w:rPr>
          <w:vertAlign w:val="superscript"/>
        </w:rPr>
        <w:t>th</w:t>
      </w:r>
      <w:r w:rsidRPr="000E509B">
        <w:t xml:space="preserve"> Avenue intersection.</w:t>
      </w:r>
    </w:p>
    <w:p w14:paraId="1E676216" w14:textId="77777777" w:rsidR="000304A4" w:rsidRPr="008E2D84" w:rsidRDefault="000304A4" w:rsidP="000304A4">
      <w:pPr>
        <w:rPr>
          <w:iCs/>
        </w:rPr>
      </w:pPr>
      <w:r w:rsidRPr="00E6466A">
        <w:t xml:space="preserve">The USDOT’s </w:t>
      </w:r>
      <w:r w:rsidRPr="00E6466A">
        <w:rPr>
          <w:i/>
        </w:rPr>
        <w:t>Benefit-Cost Analysis Guidance for Discretionary Grant Programs</w:t>
      </w:r>
      <w:r w:rsidRPr="00E6466A">
        <w:rPr>
          <w:iCs/>
        </w:rPr>
        <w:t xml:space="preserve"> provides guidance for the </w:t>
      </w:r>
      <w:r w:rsidRPr="008E2D84">
        <w:rPr>
          <w:iCs/>
        </w:rPr>
        <w:t xml:space="preserve">expected live/operating periods for different project types. Consistent with the </w:t>
      </w:r>
      <w:r w:rsidRPr="008E2D84">
        <w:rPr>
          <w:i/>
        </w:rPr>
        <w:t>Guidance</w:t>
      </w:r>
      <w:r w:rsidRPr="008E2D84">
        <w:rPr>
          <w:iCs/>
        </w:rPr>
        <w:t xml:space="preserve">, the </w:t>
      </w:r>
      <w:r w:rsidRPr="008E2D84">
        <w:t>US 85/120th Avenue Grade-Separation and Interchange Project is intended to address operating deficiencies and has been evaluated using a 30-year operating period for the BCA analysis period.</w:t>
      </w:r>
    </w:p>
    <w:p w14:paraId="7F2AB616" w14:textId="5F25DDCF" w:rsidR="000304A4" w:rsidRPr="008E2D84" w:rsidRDefault="000304A4" w:rsidP="000304A4">
      <w:r w:rsidRPr="008E2D84">
        <w:t>The evaluation period included in the overall assessment includes 3</w:t>
      </w:r>
      <w:r w:rsidR="005A05FF">
        <w:t>2</w:t>
      </w:r>
      <w:r w:rsidRPr="008E2D84">
        <w:t xml:space="preserve"> years, extending from 20</w:t>
      </w:r>
      <w:r>
        <w:t>2</w:t>
      </w:r>
      <w:r w:rsidR="0082564F">
        <w:t>4</w:t>
      </w:r>
      <w:r w:rsidRPr="008E2D84">
        <w:t xml:space="preserve"> to 2055. The evaluation period begins in year 20</w:t>
      </w:r>
      <w:r>
        <w:t>2</w:t>
      </w:r>
      <w:r w:rsidR="005A05FF">
        <w:t>4</w:t>
      </w:r>
      <w:r w:rsidRPr="008E2D84">
        <w:t xml:space="preserve"> to include all previously incurred costs that have been converted to 20</w:t>
      </w:r>
      <w:r>
        <w:t>2</w:t>
      </w:r>
      <w:r w:rsidR="0082564F">
        <w:t>4</w:t>
      </w:r>
      <w:r w:rsidRPr="008E2D84">
        <w:t xml:space="preserve"> dollars and extends to 2055 to include </w:t>
      </w:r>
      <w:r w:rsidR="00044541">
        <w:t>2</w:t>
      </w:r>
      <w:r w:rsidR="005A05FF">
        <w:t>5</w:t>
      </w:r>
      <w:r w:rsidRPr="008E2D84">
        <w:t xml:space="preserve"> years of project operation following construction completion. </w:t>
      </w:r>
    </w:p>
    <w:p w14:paraId="249870DD" w14:textId="0C7C5263" w:rsidR="000304A4" w:rsidRPr="00E6466A" w:rsidRDefault="00044541" w:rsidP="000304A4">
      <w:r>
        <w:t xml:space="preserve">The analysis was not extended to 2059 to include a full 30 years because select benefit </w:t>
      </w:r>
      <w:r w:rsidR="009963C8">
        <w:t xml:space="preserve">calculations relied on data that it did not feel appropriate to extrapolate past the 2055 horizon. </w:t>
      </w:r>
    </w:p>
    <w:p w14:paraId="7522C9F4" w14:textId="77777777" w:rsidR="00C4340B" w:rsidRPr="00E6466A" w:rsidRDefault="00C4340B" w:rsidP="00C4340B">
      <w:pPr>
        <w:pStyle w:val="Heading1"/>
      </w:pPr>
      <w:r w:rsidRPr="00E6466A">
        <w:t>Benefits</w:t>
      </w:r>
    </w:p>
    <w:p w14:paraId="52AA9EE9" w14:textId="77777777" w:rsidR="00C4340B" w:rsidRDefault="00C4340B" w:rsidP="00C4340B">
      <w:pPr>
        <w:pStyle w:val="Heading2"/>
      </w:pPr>
      <w:r w:rsidRPr="00E6466A">
        <w:t>Value of Travel Time Savings</w:t>
      </w:r>
    </w:p>
    <w:p w14:paraId="769F3891" w14:textId="77777777" w:rsidR="00C4340B" w:rsidRDefault="00C4340B" w:rsidP="00C4340B">
      <w:pPr>
        <w:pStyle w:val="BodyText"/>
      </w:pPr>
      <w:r>
        <w:t xml:space="preserve">The </w:t>
      </w:r>
      <w:r w:rsidRPr="009165F2">
        <w:t>US 85/120th Avenue Grade-Separation and Interchange</w:t>
      </w:r>
      <w:r>
        <w:t xml:space="preserve"> Project is projected to improve vehicular traffic movement through the project area. This analysis evaluations the impacts of the project on: </w:t>
      </w:r>
    </w:p>
    <w:p w14:paraId="554A1068" w14:textId="77777777" w:rsidR="00C4340B" w:rsidRDefault="00C4340B" w:rsidP="00C4340B">
      <w:pPr>
        <w:pStyle w:val="ReportBullet1"/>
      </w:pPr>
      <w:r>
        <w:t>Passenger Vehicle Travel</w:t>
      </w:r>
    </w:p>
    <w:p w14:paraId="156437D5" w14:textId="77777777" w:rsidR="00C4340B" w:rsidRDefault="00C4340B" w:rsidP="00C4340B">
      <w:pPr>
        <w:pStyle w:val="ReportBullet1LAST"/>
      </w:pPr>
      <w:r>
        <w:t>Truck and Rail Freight Travel</w:t>
      </w:r>
    </w:p>
    <w:p w14:paraId="40BE95E2" w14:textId="77777777" w:rsidR="00C4340B" w:rsidRPr="004B7968" w:rsidRDefault="00C4340B" w:rsidP="00C4340B">
      <w:r>
        <w:t>Changes in total projected vehicle delay between the Baseline and Preferred Scenarios was used to estimate vehicular travel time savings.</w:t>
      </w:r>
    </w:p>
    <w:p w14:paraId="5F9F86D5" w14:textId="77777777" w:rsidR="00CE7BB0" w:rsidRPr="00583A45" w:rsidRDefault="00CE7BB0" w:rsidP="00CE7BB0">
      <w:pPr>
        <w:pStyle w:val="Heading3"/>
      </w:pPr>
      <w:r w:rsidRPr="00583A45">
        <w:t>Vehicular Travel Time Savings</w:t>
      </w:r>
    </w:p>
    <w:p w14:paraId="060481FC" w14:textId="77777777" w:rsidR="00CE7BB0" w:rsidRPr="00583A45" w:rsidRDefault="00CE7BB0" w:rsidP="00CE7BB0">
      <w:pPr>
        <w:rPr>
          <w:iCs/>
        </w:rPr>
      </w:pPr>
      <w:r w:rsidRPr="00583A45">
        <w:t>Vehicular delay associated with the US 85/120th Avenue Grade-Separation and Interchange Project was evaluated as part of the US 85 NEPA and Preliminary Design Project</w:t>
      </w:r>
      <w:r w:rsidRPr="00583A45">
        <w:rPr>
          <w:iCs/>
        </w:rPr>
        <w:t xml:space="preserve">. The </w:t>
      </w:r>
      <w:r w:rsidRPr="00583A45">
        <w:t>US 85 NEPA and Preliminary Design Project</w:t>
      </w:r>
      <w:r w:rsidRPr="00583A45">
        <w:rPr>
          <w:iCs/>
        </w:rPr>
        <w:t xml:space="preserve"> evaluated 2018 and 2040 AM and PM peak hour conditions for the Baseline and Preferred Scenarios.</w:t>
      </w:r>
    </w:p>
    <w:p w14:paraId="75FB4389" w14:textId="77777777" w:rsidR="00CE7BB0" w:rsidRPr="00583A45" w:rsidRDefault="00CE7BB0" w:rsidP="00CE7BB0">
      <w:r w:rsidRPr="00583A45">
        <w:t>Intersection approach stopped delay at the 120</w:t>
      </w:r>
      <w:r w:rsidRPr="00583A45">
        <w:rPr>
          <w:vertAlign w:val="superscript"/>
        </w:rPr>
        <w:t>th</w:t>
      </w:r>
      <w:r w:rsidRPr="00583A45">
        <w:t xml:space="preserve"> Avenue and 124</w:t>
      </w:r>
      <w:r w:rsidRPr="00583A45">
        <w:rPr>
          <w:vertAlign w:val="superscript"/>
        </w:rPr>
        <w:t>th</w:t>
      </w:r>
      <w:r w:rsidRPr="00583A45">
        <w:t xml:space="preserve"> Avenue intersections with US 85 were analyzed and provided by Atkins for the 2018 and 2040 Baseline scenario AM and PM peak hours as part of the current US 85 NEPA and Preliminary Design Project. The AM and PM intersection stop delay was calculated as a weighted average of the approach stop delay and volume.</w:t>
      </w:r>
    </w:p>
    <w:p w14:paraId="435AD84E" w14:textId="102B9172" w:rsidR="00CE7BB0" w:rsidRDefault="00CE7BB0" w:rsidP="00CE7BB0">
      <w:r w:rsidRPr="00583A45">
        <w:t xml:space="preserve">The model served as the foundation for operational analyses of 2018 and 2040 AM and PM peak hour vehicular delay (in seconds per vehicle) under the Baseline and Preferred Scenarios; see </w:t>
      </w:r>
      <w:r w:rsidR="007E1811">
        <w:rPr>
          <w:b/>
          <w:bCs/>
        </w:rPr>
        <w:fldChar w:fldCharType="begin"/>
      </w:r>
      <w:r w:rsidR="007E1811">
        <w:rPr>
          <w:b/>
          <w:bCs/>
        </w:rPr>
        <w:instrText xml:space="preserve"> REF _Ref158878605 \h </w:instrText>
      </w:r>
      <w:r w:rsidR="007E1811">
        <w:rPr>
          <w:b/>
          <w:bCs/>
        </w:rPr>
      </w:r>
      <w:r w:rsidR="007E1811">
        <w:rPr>
          <w:b/>
          <w:bCs/>
        </w:rPr>
        <w:fldChar w:fldCharType="separate"/>
      </w:r>
      <w:r w:rsidR="007E1811">
        <w:t xml:space="preserve">Table </w:t>
      </w:r>
      <w:r w:rsidR="007E1811">
        <w:rPr>
          <w:noProof/>
        </w:rPr>
        <w:t>3</w:t>
      </w:r>
      <w:r w:rsidR="007E1811">
        <w:rPr>
          <w:b/>
          <w:bCs/>
        </w:rPr>
        <w:fldChar w:fldCharType="end"/>
      </w:r>
      <w:r w:rsidR="007E1811">
        <w:rPr>
          <w:b/>
          <w:bCs/>
        </w:rPr>
        <w:t xml:space="preserve"> </w:t>
      </w:r>
      <w:r w:rsidRPr="00583A45">
        <w:t xml:space="preserve">and </w:t>
      </w:r>
      <w:r w:rsidR="007E1811">
        <w:rPr>
          <w:b/>
          <w:bCs/>
        </w:rPr>
        <w:fldChar w:fldCharType="begin"/>
      </w:r>
      <w:r w:rsidR="007E1811">
        <w:instrText xml:space="preserve"> REF _Ref158878621 \h </w:instrText>
      </w:r>
      <w:r w:rsidR="007E1811">
        <w:rPr>
          <w:b/>
          <w:bCs/>
        </w:rPr>
      </w:r>
      <w:r w:rsidR="007E1811">
        <w:rPr>
          <w:b/>
          <w:bCs/>
        </w:rPr>
        <w:fldChar w:fldCharType="separate"/>
      </w:r>
      <w:r w:rsidR="007E1811">
        <w:t xml:space="preserve">Table </w:t>
      </w:r>
      <w:r w:rsidR="007E1811">
        <w:rPr>
          <w:noProof/>
        </w:rPr>
        <w:t>4</w:t>
      </w:r>
      <w:r w:rsidR="007E1811">
        <w:rPr>
          <w:b/>
          <w:bCs/>
        </w:rPr>
        <w:fldChar w:fldCharType="end"/>
      </w:r>
      <w:r w:rsidRPr="00583A45">
        <w:t>, respectively.</w:t>
      </w:r>
    </w:p>
    <w:p w14:paraId="0F28F3CB" w14:textId="77777777" w:rsidR="00CE7BB0" w:rsidRDefault="00CE7BB0" w:rsidP="00CE7BB0">
      <w:pPr>
        <w:spacing w:before="0" w:after="0"/>
      </w:pPr>
      <w:r>
        <w:br w:type="page"/>
      </w:r>
    </w:p>
    <w:p w14:paraId="311D62DA" w14:textId="33D113E7" w:rsidR="00CE7BB0" w:rsidRPr="00E6466A" w:rsidRDefault="00022D3F" w:rsidP="00022D3F">
      <w:pPr>
        <w:pStyle w:val="Caption"/>
      </w:pPr>
      <w:bookmarkStart w:id="4" w:name="_Ref158878605"/>
      <w:r>
        <w:lastRenderedPageBreak/>
        <w:t xml:space="preserve">Table </w:t>
      </w:r>
      <w:r>
        <w:fldChar w:fldCharType="begin"/>
      </w:r>
      <w:r>
        <w:instrText xml:space="preserve"> SEQ Table \* ARABIC </w:instrText>
      </w:r>
      <w:r>
        <w:fldChar w:fldCharType="separate"/>
      </w:r>
      <w:r w:rsidR="00896659">
        <w:rPr>
          <w:noProof/>
        </w:rPr>
        <w:t>3</w:t>
      </w:r>
      <w:r>
        <w:fldChar w:fldCharType="end"/>
      </w:r>
      <w:bookmarkEnd w:id="4"/>
      <w:r w:rsidR="00CE7BB0" w:rsidRPr="00E6466A">
        <w:t>.</w:t>
      </w:r>
      <w:r w:rsidR="00CE7BB0" w:rsidRPr="00E6466A">
        <w:tab/>
        <w:t>AM and PM Peak Hour Approach LOS and Delay (sec/vehicle) – Baseline Scenario</w:t>
      </w:r>
    </w:p>
    <w:tbl>
      <w:tblPr>
        <w:tblStyle w:val="TableGrid"/>
        <w:tblW w:w="5000" w:type="pct"/>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ayout w:type="fixed"/>
        <w:tblLook w:val="04A0" w:firstRow="1" w:lastRow="0" w:firstColumn="1" w:lastColumn="0" w:noHBand="0" w:noVBand="1"/>
      </w:tblPr>
      <w:tblGrid>
        <w:gridCol w:w="2133"/>
        <w:gridCol w:w="1579"/>
        <w:gridCol w:w="1484"/>
        <w:gridCol w:w="1484"/>
        <w:gridCol w:w="1484"/>
        <w:gridCol w:w="1484"/>
      </w:tblGrid>
      <w:tr w:rsidR="00CE7BB0" w:rsidRPr="00E6466A" w14:paraId="2669B0FC" w14:textId="77777777" w:rsidTr="00352104">
        <w:tc>
          <w:tcPr>
            <w:tcW w:w="1105" w:type="pct"/>
            <w:vMerge w:val="restart"/>
            <w:shd w:val="clear" w:color="auto" w:fill="D29F13" w:themeFill="accent4"/>
            <w:vAlign w:val="center"/>
          </w:tcPr>
          <w:p w14:paraId="4F661033" w14:textId="77777777" w:rsidR="00CE7BB0" w:rsidRPr="00E6466A" w:rsidRDefault="00CE7BB0" w:rsidP="00352104">
            <w:pPr>
              <w:pStyle w:val="TableHeading"/>
            </w:pPr>
            <w:r w:rsidRPr="00E6466A">
              <w:t>Intersection</w:t>
            </w:r>
          </w:p>
        </w:tc>
        <w:tc>
          <w:tcPr>
            <w:tcW w:w="818" w:type="pct"/>
            <w:vMerge w:val="restart"/>
            <w:shd w:val="clear" w:color="auto" w:fill="D29F13" w:themeFill="accent4"/>
            <w:vAlign w:val="center"/>
          </w:tcPr>
          <w:p w14:paraId="1988478D" w14:textId="77777777" w:rsidR="00CE7BB0" w:rsidRPr="00E6466A" w:rsidRDefault="00CE7BB0" w:rsidP="00352104">
            <w:pPr>
              <w:pStyle w:val="TableHeading"/>
            </w:pPr>
            <w:r w:rsidRPr="00E6466A">
              <w:t>Approach</w:t>
            </w:r>
          </w:p>
        </w:tc>
        <w:tc>
          <w:tcPr>
            <w:tcW w:w="1538" w:type="pct"/>
            <w:gridSpan w:val="2"/>
            <w:shd w:val="clear" w:color="auto" w:fill="D29F13" w:themeFill="accent4"/>
            <w:vAlign w:val="center"/>
          </w:tcPr>
          <w:p w14:paraId="1C2DA997" w14:textId="77777777" w:rsidR="00CE7BB0" w:rsidRPr="00E6466A" w:rsidRDefault="00CE7BB0" w:rsidP="00352104">
            <w:pPr>
              <w:pStyle w:val="TableHeading"/>
            </w:pPr>
            <w:r w:rsidRPr="00E6466A">
              <w:t>2017</w:t>
            </w:r>
          </w:p>
        </w:tc>
        <w:tc>
          <w:tcPr>
            <w:tcW w:w="1538" w:type="pct"/>
            <w:gridSpan w:val="2"/>
            <w:shd w:val="clear" w:color="auto" w:fill="D29F13" w:themeFill="accent4"/>
            <w:vAlign w:val="center"/>
          </w:tcPr>
          <w:p w14:paraId="1ECFD6A1" w14:textId="77777777" w:rsidR="00CE7BB0" w:rsidRPr="00E6466A" w:rsidRDefault="00CE7BB0" w:rsidP="00352104">
            <w:pPr>
              <w:pStyle w:val="TableHeading"/>
            </w:pPr>
            <w:r w:rsidRPr="00E6466A">
              <w:t>2040</w:t>
            </w:r>
          </w:p>
        </w:tc>
      </w:tr>
      <w:tr w:rsidR="00CE7BB0" w:rsidRPr="00E6466A" w14:paraId="0916A651" w14:textId="77777777" w:rsidTr="00352104">
        <w:tc>
          <w:tcPr>
            <w:tcW w:w="1105" w:type="pct"/>
            <w:vMerge/>
            <w:shd w:val="clear" w:color="auto" w:fill="D29F13" w:themeFill="accent4"/>
            <w:vAlign w:val="center"/>
          </w:tcPr>
          <w:p w14:paraId="3FB78CDD" w14:textId="77777777" w:rsidR="00CE7BB0" w:rsidRPr="00E6466A" w:rsidRDefault="00CE7BB0" w:rsidP="00352104">
            <w:pPr>
              <w:pStyle w:val="TableHeading"/>
            </w:pPr>
          </w:p>
        </w:tc>
        <w:tc>
          <w:tcPr>
            <w:tcW w:w="818" w:type="pct"/>
            <w:vMerge/>
            <w:shd w:val="clear" w:color="auto" w:fill="D29F13" w:themeFill="accent4"/>
            <w:vAlign w:val="center"/>
          </w:tcPr>
          <w:p w14:paraId="7FA3C18A" w14:textId="77777777" w:rsidR="00CE7BB0" w:rsidRPr="00E6466A" w:rsidRDefault="00CE7BB0" w:rsidP="00352104">
            <w:pPr>
              <w:pStyle w:val="TableHeading"/>
            </w:pPr>
          </w:p>
        </w:tc>
        <w:tc>
          <w:tcPr>
            <w:tcW w:w="769" w:type="pct"/>
            <w:shd w:val="clear" w:color="auto" w:fill="D29F13" w:themeFill="accent4"/>
            <w:vAlign w:val="center"/>
          </w:tcPr>
          <w:p w14:paraId="4844C15F" w14:textId="77777777" w:rsidR="00CE7BB0" w:rsidRPr="00E6466A" w:rsidRDefault="00CE7BB0" w:rsidP="00352104">
            <w:pPr>
              <w:pStyle w:val="TableHeading"/>
            </w:pPr>
            <w:r w:rsidRPr="00E6466A">
              <w:t>AM</w:t>
            </w:r>
          </w:p>
        </w:tc>
        <w:tc>
          <w:tcPr>
            <w:tcW w:w="769" w:type="pct"/>
            <w:shd w:val="clear" w:color="auto" w:fill="D29F13" w:themeFill="accent4"/>
            <w:vAlign w:val="center"/>
          </w:tcPr>
          <w:p w14:paraId="10BB2544" w14:textId="77777777" w:rsidR="00CE7BB0" w:rsidRPr="00E6466A" w:rsidRDefault="00CE7BB0" w:rsidP="00352104">
            <w:pPr>
              <w:pStyle w:val="TableHeading"/>
            </w:pPr>
            <w:r w:rsidRPr="00E6466A">
              <w:t>PM</w:t>
            </w:r>
          </w:p>
        </w:tc>
        <w:tc>
          <w:tcPr>
            <w:tcW w:w="769" w:type="pct"/>
            <w:shd w:val="clear" w:color="auto" w:fill="D29F13" w:themeFill="accent4"/>
            <w:vAlign w:val="center"/>
          </w:tcPr>
          <w:p w14:paraId="76916DAD" w14:textId="77777777" w:rsidR="00CE7BB0" w:rsidRPr="00E6466A" w:rsidRDefault="00CE7BB0" w:rsidP="00352104">
            <w:pPr>
              <w:pStyle w:val="TableHeading"/>
            </w:pPr>
            <w:r w:rsidRPr="00E6466A">
              <w:t>AM</w:t>
            </w:r>
          </w:p>
        </w:tc>
        <w:tc>
          <w:tcPr>
            <w:tcW w:w="769" w:type="pct"/>
            <w:shd w:val="clear" w:color="auto" w:fill="D29F13" w:themeFill="accent4"/>
            <w:vAlign w:val="center"/>
          </w:tcPr>
          <w:p w14:paraId="44298D18" w14:textId="77777777" w:rsidR="00CE7BB0" w:rsidRPr="00E6466A" w:rsidRDefault="00CE7BB0" w:rsidP="00352104">
            <w:pPr>
              <w:pStyle w:val="TableHeading"/>
            </w:pPr>
            <w:r w:rsidRPr="00E6466A">
              <w:t>PM</w:t>
            </w:r>
          </w:p>
        </w:tc>
      </w:tr>
      <w:tr w:rsidR="00CE7BB0" w:rsidRPr="00E6466A" w14:paraId="2E3D6248" w14:textId="77777777" w:rsidTr="00352104">
        <w:tc>
          <w:tcPr>
            <w:tcW w:w="1105" w:type="pct"/>
            <w:vMerge w:val="restart"/>
            <w:vAlign w:val="center"/>
          </w:tcPr>
          <w:p w14:paraId="44F727AD" w14:textId="77777777" w:rsidR="00CE7BB0" w:rsidRPr="00E6466A" w:rsidRDefault="00CE7BB0" w:rsidP="00352104">
            <w:pPr>
              <w:pStyle w:val="TableText"/>
            </w:pPr>
            <w:r w:rsidRPr="00E6466A">
              <w:t>US 85 at 120</w:t>
            </w:r>
            <w:r w:rsidRPr="00E6466A">
              <w:rPr>
                <w:vertAlign w:val="superscript"/>
              </w:rPr>
              <w:t>th</w:t>
            </w:r>
            <w:r w:rsidRPr="00E6466A">
              <w:t xml:space="preserve"> Avenue</w:t>
            </w:r>
          </w:p>
        </w:tc>
        <w:tc>
          <w:tcPr>
            <w:tcW w:w="818" w:type="pct"/>
            <w:vAlign w:val="center"/>
          </w:tcPr>
          <w:p w14:paraId="58B9DECE" w14:textId="77777777" w:rsidR="00CE7BB0" w:rsidRPr="00E6466A" w:rsidRDefault="00CE7BB0" w:rsidP="00352104">
            <w:pPr>
              <w:pStyle w:val="TableText"/>
              <w:jc w:val="center"/>
            </w:pPr>
            <w:r w:rsidRPr="00E6466A">
              <w:t>WB</w:t>
            </w:r>
          </w:p>
        </w:tc>
        <w:tc>
          <w:tcPr>
            <w:tcW w:w="769" w:type="pct"/>
          </w:tcPr>
          <w:p w14:paraId="6DA55F32" w14:textId="77777777" w:rsidR="00CE7BB0" w:rsidRPr="00E6466A" w:rsidRDefault="00CE7BB0" w:rsidP="00352104">
            <w:pPr>
              <w:pStyle w:val="TableText"/>
              <w:jc w:val="center"/>
            </w:pPr>
            <w:r w:rsidRPr="00E6466A">
              <w:t>49 (D)</w:t>
            </w:r>
          </w:p>
        </w:tc>
        <w:tc>
          <w:tcPr>
            <w:tcW w:w="769" w:type="pct"/>
          </w:tcPr>
          <w:p w14:paraId="7C42039C" w14:textId="77777777" w:rsidR="00CE7BB0" w:rsidRPr="00E6466A" w:rsidRDefault="00CE7BB0" w:rsidP="00352104">
            <w:pPr>
              <w:pStyle w:val="TableText"/>
              <w:jc w:val="center"/>
            </w:pPr>
            <w:r w:rsidRPr="00E6466A">
              <w:t>60 (E)</w:t>
            </w:r>
          </w:p>
        </w:tc>
        <w:tc>
          <w:tcPr>
            <w:tcW w:w="769" w:type="pct"/>
          </w:tcPr>
          <w:p w14:paraId="0B918105" w14:textId="77777777" w:rsidR="00CE7BB0" w:rsidRPr="00E6466A" w:rsidRDefault="00CE7BB0" w:rsidP="00352104">
            <w:pPr>
              <w:pStyle w:val="TableText"/>
              <w:jc w:val="center"/>
            </w:pPr>
            <w:r w:rsidRPr="00E6466A">
              <w:t>101 (F)</w:t>
            </w:r>
          </w:p>
        </w:tc>
        <w:tc>
          <w:tcPr>
            <w:tcW w:w="769" w:type="pct"/>
          </w:tcPr>
          <w:p w14:paraId="680F4E58" w14:textId="77777777" w:rsidR="00CE7BB0" w:rsidRPr="00E6466A" w:rsidRDefault="00CE7BB0" w:rsidP="00352104">
            <w:pPr>
              <w:pStyle w:val="TableText"/>
              <w:jc w:val="center"/>
            </w:pPr>
            <w:r w:rsidRPr="00E6466A">
              <w:t>85 (F)</w:t>
            </w:r>
          </w:p>
        </w:tc>
      </w:tr>
      <w:tr w:rsidR="00CE7BB0" w:rsidRPr="00E6466A" w14:paraId="510F34D9" w14:textId="77777777" w:rsidTr="00352104">
        <w:tc>
          <w:tcPr>
            <w:tcW w:w="1105" w:type="pct"/>
            <w:vMerge/>
            <w:vAlign w:val="center"/>
          </w:tcPr>
          <w:p w14:paraId="03F0359B" w14:textId="77777777" w:rsidR="00CE7BB0" w:rsidRPr="00E6466A" w:rsidRDefault="00CE7BB0" w:rsidP="00352104">
            <w:pPr>
              <w:pStyle w:val="TableText"/>
            </w:pPr>
          </w:p>
        </w:tc>
        <w:tc>
          <w:tcPr>
            <w:tcW w:w="818" w:type="pct"/>
            <w:vAlign w:val="center"/>
          </w:tcPr>
          <w:p w14:paraId="31453FCB" w14:textId="77777777" w:rsidR="00CE7BB0" w:rsidRPr="00E6466A" w:rsidRDefault="00CE7BB0" w:rsidP="00352104">
            <w:pPr>
              <w:pStyle w:val="TableText"/>
              <w:jc w:val="center"/>
            </w:pPr>
            <w:r w:rsidRPr="00E6466A">
              <w:t>EB</w:t>
            </w:r>
          </w:p>
        </w:tc>
        <w:tc>
          <w:tcPr>
            <w:tcW w:w="769" w:type="pct"/>
          </w:tcPr>
          <w:p w14:paraId="48AD2956" w14:textId="77777777" w:rsidR="00CE7BB0" w:rsidRPr="00E6466A" w:rsidRDefault="00CE7BB0" w:rsidP="00352104">
            <w:pPr>
              <w:pStyle w:val="TableText"/>
              <w:jc w:val="center"/>
            </w:pPr>
            <w:r w:rsidRPr="00E6466A">
              <w:t>54 (D)</w:t>
            </w:r>
          </w:p>
        </w:tc>
        <w:tc>
          <w:tcPr>
            <w:tcW w:w="769" w:type="pct"/>
          </w:tcPr>
          <w:p w14:paraId="361792DF" w14:textId="77777777" w:rsidR="00CE7BB0" w:rsidRPr="00E6466A" w:rsidRDefault="00CE7BB0" w:rsidP="00352104">
            <w:pPr>
              <w:pStyle w:val="TableText"/>
              <w:jc w:val="center"/>
            </w:pPr>
            <w:r w:rsidRPr="00E6466A">
              <w:t>81 (F)</w:t>
            </w:r>
          </w:p>
        </w:tc>
        <w:tc>
          <w:tcPr>
            <w:tcW w:w="769" w:type="pct"/>
          </w:tcPr>
          <w:p w14:paraId="416A4B8E" w14:textId="77777777" w:rsidR="00CE7BB0" w:rsidRPr="00E6466A" w:rsidRDefault="00CE7BB0" w:rsidP="00352104">
            <w:pPr>
              <w:pStyle w:val="TableText"/>
              <w:jc w:val="center"/>
            </w:pPr>
            <w:r w:rsidRPr="00E6466A">
              <w:t>274 (F)</w:t>
            </w:r>
          </w:p>
        </w:tc>
        <w:tc>
          <w:tcPr>
            <w:tcW w:w="769" w:type="pct"/>
          </w:tcPr>
          <w:p w14:paraId="25E1588F" w14:textId="77777777" w:rsidR="00CE7BB0" w:rsidRPr="00E6466A" w:rsidRDefault="00CE7BB0" w:rsidP="00352104">
            <w:pPr>
              <w:pStyle w:val="TableText"/>
              <w:jc w:val="center"/>
            </w:pPr>
            <w:r w:rsidRPr="00E6466A">
              <w:t>231 (F)</w:t>
            </w:r>
          </w:p>
        </w:tc>
      </w:tr>
      <w:tr w:rsidR="00CE7BB0" w:rsidRPr="00E6466A" w14:paraId="13386A0B" w14:textId="77777777" w:rsidTr="00352104">
        <w:tc>
          <w:tcPr>
            <w:tcW w:w="1105" w:type="pct"/>
            <w:vMerge/>
            <w:vAlign w:val="center"/>
          </w:tcPr>
          <w:p w14:paraId="4F6B4CF0" w14:textId="77777777" w:rsidR="00CE7BB0" w:rsidRPr="00E6466A" w:rsidRDefault="00CE7BB0" w:rsidP="00352104">
            <w:pPr>
              <w:pStyle w:val="TableText"/>
            </w:pPr>
          </w:p>
        </w:tc>
        <w:tc>
          <w:tcPr>
            <w:tcW w:w="818" w:type="pct"/>
            <w:vAlign w:val="center"/>
          </w:tcPr>
          <w:p w14:paraId="62736070" w14:textId="77777777" w:rsidR="00CE7BB0" w:rsidRPr="00E6466A" w:rsidRDefault="00CE7BB0" w:rsidP="00352104">
            <w:pPr>
              <w:pStyle w:val="TableText"/>
              <w:jc w:val="center"/>
            </w:pPr>
            <w:r w:rsidRPr="00E6466A">
              <w:t>NB</w:t>
            </w:r>
          </w:p>
        </w:tc>
        <w:tc>
          <w:tcPr>
            <w:tcW w:w="769" w:type="pct"/>
          </w:tcPr>
          <w:p w14:paraId="7F478CF0" w14:textId="77777777" w:rsidR="00CE7BB0" w:rsidRPr="00E6466A" w:rsidRDefault="00CE7BB0" w:rsidP="00352104">
            <w:pPr>
              <w:pStyle w:val="TableText"/>
              <w:jc w:val="center"/>
            </w:pPr>
            <w:r w:rsidRPr="00E6466A">
              <w:t>32 (C)</w:t>
            </w:r>
          </w:p>
        </w:tc>
        <w:tc>
          <w:tcPr>
            <w:tcW w:w="769" w:type="pct"/>
          </w:tcPr>
          <w:p w14:paraId="76F6D4BC" w14:textId="77777777" w:rsidR="00CE7BB0" w:rsidRPr="00E6466A" w:rsidRDefault="00CE7BB0" w:rsidP="00352104">
            <w:pPr>
              <w:pStyle w:val="TableText"/>
              <w:jc w:val="center"/>
            </w:pPr>
            <w:r w:rsidRPr="00E6466A">
              <w:t>41 (D)</w:t>
            </w:r>
          </w:p>
        </w:tc>
        <w:tc>
          <w:tcPr>
            <w:tcW w:w="769" w:type="pct"/>
          </w:tcPr>
          <w:p w14:paraId="764C32BE" w14:textId="77777777" w:rsidR="00CE7BB0" w:rsidRPr="00E6466A" w:rsidRDefault="00CE7BB0" w:rsidP="00352104">
            <w:pPr>
              <w:pStyle w:val="TableText"/>
              <w:jc w:val="center"/>
            </w:pPr>
            <w:r w:rsidRPr="00E6466A">
              <w:t>60 (E)</w:t>
            </w:r>
          </w:p>
        </w:tc>
        <w:tc>
          <w:tcPr>
            <w:tcW w:w="769" w:type="pct"/>
          </w:tcPr>
          <w:p w14:paraId="6443AC5D" w14:textId="77777777" w:rsidR="00CE7BB0" w:rsidRPr="00E6466A" w:rsidRDefault="00CE7BB0" w:rsidP="00352104">
            <w:pPr>
              <w:pStyle w:val="TableText"/>
              <w:jc w:val="center"/>
            </w:pPr>
            <w:r w:rsidRPr="00E6466A">
              <w:t>121 (F)</w:t>
            </w:r>
          </w:p>
        </w:tc>
      </w:tr>
      <w:tr w:rsidR="00CE7BB0" w:rsidRPr="00E6466A" w14:paraId="416D6387" w14:textId="77777777" w:rsidTr="00352104">
        <w:tc>
          <w:tcPr>
            <w:tcW w:w="1105" w:type="pct"/>
            <w:vMerge/>
            <w:tcBorders>
              <w:bottom w:val="single" w:sz="4" w:space="0" w:color="425563"/>
            </w:tcBorders>
            <w:vAlign w:val="center"/>
          </w:tcPr>
          <w:p w14:paraId="7648DDF1" w14:textId="77777777" w:rsidR="00CE7BB0" w:rsidRPr="00E6466A" w:rsidRDefault="00CE7BB0" w:rsidP="00352104">
            <w:pPr>
              <w:pStyle w:val="TableText"/>
            </w:pPr>
          </w:p>
        </w:tc>
        <w:tc>
          <w:tcPr>
            <w:tcW w:w="818" w:type="pct"/>
            <w:tcBorders>
              <w:bottom w:val="single" w:sz="4" w:space="0" w:color="425563"/>
            </w:tcBorders>
            <w:vAlign w:val="center"/>
          </w:tcPr>
          <w:p w14:paraId="64775E5C" w14:textId="77777777" w:rsidR="00CE7BB0" w:rsidRPr="00E6466A" w:rsidRDefault="00CE7BB0" w:rsidP="00352104">
            <w:pPr>
              <w:pStyle w:val="TableText"/>
              <w:jc w:val="center"/>
            </w:pPr>
            <w:r w:rsidRPr="00E6466A">
              <w:t>SB</w:t>
            </w:r>
          </w:p>
        </w:tc>
        <w:tc>
          <w:tcPr>
            <w:tcW w:w="769" w:type="pct"/>
            <w:tcBorders>
              <w:bottom w:val="single" w:sz="4" w:space="0" w:color="425563"/>
            </w:tcBorders>
          </w:tcPr>
          <w:p w14:paraId="526BDA58" w14:textId="77777777" w:rsidR="00CE7BB0" w:rsidRPr="00E6466A" w:rsidRDefault="00CE7BB0" w:rsidP="00352104">
            <w:pPr>
              <w:pStyle w:val="TableText"/>
              <w:jc w:val="center"/>
            </w:pPr>
            <w:r w:rsidRPr="00E6466A">
              <w:t>14 (B)</w:t>
            </w:r>
          </w:p>
        </w:tc>
        <w:tc>
          <w:tcPr>
            <w:tcW w:w="769" w:type="pct"/>
            <w:tcBorders>
              <w:bottom w:val="single" w:sz="4" w:space="0" w:color="425563"/>
            </w:tcBorders>
          </w:tcPr>
          <w:p w14:paraId="0EA44387" w14:textId="77777777" w:rsidR="00CE7BB0" w:rsidRPr="00E6466A" w:rsidRDefault="00CE7BB0" w:rsidP="00352104">
            <w:pPr>
              <w:pStyle w:val="TableText"/>
              <w:jc w:val="center"/>
            </w:pPr>
            <w:r w:rsidRPr="00E6466A">
              <w:t>25 (C)</w:t>
            </w:r>
          </w:p>
        </w:tc>
        <w:tc>
          <w:tcPr>
            <w:tcW w:w="769" w:type="pct"/>
            <w:tcBorders>
              <w:bottom w:val="single" w:sz="4" w:space="0" w:color="425563"/>
            </w:tcBorders>
          </w:tcPr>
          <w:p w14:paraId="4EBF588D" w14:textId="77777777" w:rsidR="00CE7BB0" w:rsidRPr="00E6466A" w:rsidRDefault="00CE7BB0" w:rsidP="00352104">
            <w:pPr>
              <w:pStyle w:val="TableText"/>
              <w:jc w:val="center"/>
            </w:pPr>
            <w:r w:rsidRPr="00E6466A">
              <w:t>41 (D)</w:t>
            </w:r>
          </w:p>
        </w:tc>
        <w:tc>
          <w:tcPr>
            <w:tcW w:w="769" w:type="pct"/>
            <w:tcBorders>
              <w:bottom w:val="single" w:sz="4" w:space="0" w:color="425563"/>
            </w:tcBorders>
          </w:tcPr>
          <w:p w14:paraId="1DB4F024" w14:textId="77777777" w:rsidR="00CE7BB0" w:rsidRPr="00E6466A" w:rsidRDefault="00CE7BB0" w:rsidP="00352104">
            <w:pPr>
              <w:pStyle w:val="TableText"/>
              <w:jc w:val="center"/>
            </w:pPr>
            <w:r w:rsidRPr="00E6466A">
              <w:t>64 (E)</w:t>
            </w:r>
          </w:p>
        </w:tc>
      </w:tr>
      <w:tr w:rsidR="00CE7BB0" w:rsidRPr="00E6466A" w14:paraId="045BDF1E" w14:textId="77777777" w:rsidTr="00352104">
        <w:tc>
          <w:tcPr>
            <w:tcW w:w="1105" w:type="pct"/>
            <w:vMerge w:val="restart"/>
            <w:tcBorders>
              <w:bottom w:val="single" w:sz="4" w:space="0" w:color="425563"/>
            </w:tcBorders>
            <w:vAlign w:val="center"/>
          </w:tcPr>
          <w:p w14:paraId="1C9012B4" w14:textId="77777777" w:rsidR="00CE7BB0" w:rsidRPr="00E6466A" w:rsidRDefault="00CE7BB0" w:rsidP="00352104">
            <w:pPr>
              <w:pStyle w:val="TableText"/>
            </w:pPr>
            <w:r w:rsidRPr="00E6466A">
              <w:t>US 85 at 124</w:t>
            </w:r>
            <w:r w:rsidRPr="00E6466A">
              <w:rPr>
                <w:vertAlign w:val="superscript"/>
              </w:rPr>
              <w:t>th</w:t>
            </w:r>
            <w:r w:rsidRPr="00E6466A">
              <w:t xml:space="preserve"> Avenue</w:t>
            </w:r>
          </w:p>
        </w:tc>
        <w:tc>
          <w:tcPr>
            <w:tcW w:w="818" w:type="pct"/>
            <w:tcBorders>
              <w:bottom w:val="single" w:sz="4" w:space="0" w:color="425563"/>
            </w:tcBorders>
            <w:vAlign w:val="center"/>
          </w:tcPr>
          <w:p w14:paraId="5E2A4301" w14:textId="77777777" w:rsidR="00CE7BB0" w:rsidRPr="00E6466A" w:rsidRDefault="00CE7BB0" w:rsidP="00352104">
            <w:pPr>
              <w:pStyle w:val="TableText"/>
              <w:jc w:val="center"/>
            </w:pPr>
            <w:r w:rsidRPr="00E6466A">
              <w:t>WB</w:t>
            </w:r>
          </w:p>
        </w:tc>
        <w:tc>
          <w:tcPr>
            <w:tcW w:w="769" w:type="pct"/>
            <w:tcBorders>
              <w:bottom w:val="single" w:sz="4" w:space="0" w:color="425563"/>
            </w:tcBorders>
          </w:tcPr>
          <w:p w14:paraId="16595F5F" w14:textId="77777777" w:rsidR="00CE7BB0" w:rsidRPr="00E6466A" w:rsidRDefault="00CE7BB0" w:rsidP="00352104">
            <w:pPr>
              <w:pStyle w:val="TableText"/>
              <w:jc w:val="center"/>
            </w:pPr>
            <w:r w:rsidRPr="00E6466A">
              <w:t>56 (E)</w:t>
            </w:r>
          </w:p>
        </w:tc>
        <w:tc>
          <w:tcPr>
            <w:tcW w:w="769" w:type="pct"/>
            <w:tcBorders>
              <w:bottom w:val="single" w:sz="4" w:space="0" w:color="425563"/>
            </w:tcBorders>
          </w:tcPr>
          <w:p w14:paraId="7DAC8976" w14:textId="77777777" w:rsidR="00CE7BB0" w:rsidRPr="00E6466A" w:rsidRDefault="00CE7BB0" w:rsidP="00352104">
            <w:pPr>
              <w:pStyle w:val="TableText"/>
              <w:jc w:val="center"/>
            </w:pPr>
            <w:r w:rsidRPr="00E6466A">
              <w:t>173 (F)</w:t>
            </w:r>
          </w:p>
        </w:tc>
        <w:tc>
          <w:tcPr>
            <w:tcW w:w="769" w:type="pct"/>
            <w:tcBorders>
              <w:bottom w:val="single" w:sz="4" w:space="0" w:color="425563"/>
            </w:tcBorders>
          </w:tcPr>
          <w:p w14:paraId="5F227EC8" w14:textId="77777777" w:rsidR="00CE7BB0" w:rsidRPr="00E6466A" w:rsidRDefault="00CE7BB0" w:rsidP="00352104">
            <w:pPr>
              <w:pStyle w:val="TableText"/>
              <w:jc w:val="center"/>
            </w:pPr>
            <w:r w:rsidRPr="00E6466A">
              <w:t>117 (F)</w:t>
            </w:r>
          </w:p>
        </w:tc>
        <w:tc>
          <w:tcPr>
            <w:tcW w:w="769" w:type="pct"/>
            <w:tcBorders>
              <w:bottom w:val="single" w:sz="4" w:space="0" w:color="425563"/>
            </w:tcBorders>
          </w:tcPr>
          <w:p w14:paraId="4966B5DE" w14:textId="77777777" w:rsidR="00CE7BB0" w:rsidRPr="00E6466A" w:rsidRDefault="00CE7BB0" w:rsidP="00352104">
            <w:pPr>
              <w:pStyle w:val="TableText"/>
              <w:jc w:val="center"/>
            </w:pPr>
            <w:r w:rsidRPr="00E6466A">
              <w:t>95 (F)</w:t>
            </w:r>
          </w:p>
        </w:tc>
      </w:tr>
      <w:tr w:rsidR="00CE7BB0" w:rsidRPr="00E6466A" w14:paraId="5BA594EA" w14:textId="77777777" w:rsidTr="00352104">
        <w:tc>
          <w:tcPr>
            <w:tcW w:w="1105" w:type="pct"/>
            <w:vMerge/>
            <w:tcBorders>
              <w:bottom w:val="single" w:sz="4" w:space="0" w:color="425563"/>
            </w:tcBorders>
            <w:vAlign w:val="bottom"/>
          </w:tcPr>
          <w:p w14:paraId="538B30BA" w14:textId="77777777" w:rsidR="00CE7BB0" w:rsidRPr="00E6466A" w:rsidRDefault="00CE7BB0" w:rsidP="00352104">
            <w:pPr>
              <w:pStyle w:val="TableText"/>
            </w:pPr>
          </w:p>
        </w:tc>
        <w:tc>
          <w:tcPr>
            <w:tcW w:w="818" w:type="pct"/>
            <w:tcBorders>
              <w:bottom w:val="single" w:sz="4" w:space="0" w:color="425563"/>
            </w:tcBorders>
            <w:vAlign w:val="center"/>
          </w:tcPr>
          <w:p w14:paraId="1DD93D91" w14:textId="77777777" w:rsidR="00CE7BB0" w:rsidRPr="00E6466A" w:rsidRDefault="00CE7BB0" w:rsidP="00352104">
            <w:pPr>
              <w:pStyle w:val="TableText"/>
              <w:jc w:val="center"/>
            </w:pPr>
            <w:r w:rsidRPr="00E6466A">
              <w:t>EB</w:t>
            </w:r>
          </w:p>
        </w:tc>
        <w:tc>
          <w:tcPr>
            <w:tcW w:w="769" w:type="pct"/>
            <w:tcBorders>
              <w:bottom w:val="single" w:sz="4" w:space="0" w:color="425563"/>
            </w:tcBorders>
          </w:tcPr>
          <w:p w14:paraId="321BB007" w14:textId="77777777" w:rsidR="00CE7BB0" w:rsidRPr="00E6466A" w:rsidRDefault="00CE7BB0" w:rsidP="00352104">
            <w:pPr>
              <w:pStyle w:val="TableText"/>
              <w:jc w:val="center"/>
            </w:pPr>
            <w:r w:rsidRPr="00E6466A">
              <w:t>71 (E)</w:t>
            </w:r>
          </w:p>
        </w:tc>
        <w:tc>
          <w:tcPr>
            <w:tcW w:w="769" w:type="pct"/>
            <w:tcBorders>
              <w:bottom w:val="single" w:sz="4" w:space="0" w:color="425563"/>
            </w:tcBorders>
          </w:tcPr>
          <w:p w14:paraId="6B3CD9E7" w14:textId="77777777" w:rsidR="00CE7BB0" w:rsidRPr="00E6466A" w:rsidRDefault="00CE7BB0" w:rsidP="00352104">
            <w:pPr>
              <w:pStyle w:val="TableText"/>
              <w:jc w:val="center"/>
            </w:pPr>
            <w:r w:rsidRPr="00E6466A">
              <w:t>130 (F)</w:t>
            </w:r>
          </w:p>
        </w:tc>
        <w:tc>
          <w:tcPr>
            <w:tcW w:w="769" w:type="pct"/>
            <w:tcBorders>
              <w:bottom w:val="single" w:sz="4" w:space="0" w:color="425563"/>
            </w:tcBorders>
          </w:tcPr>
          <w:p w14:paraId="18805933" w14:textId="77777777" w:rsidR="00CE7BB0" w:rsidRPr="00E6466A" w:rsidRDefault="00CE7BB0" w:rsidP="00352104">
            <w:pPr>
              <w:pStyle w:val="TableText"/>
              <w:jc w:val="center"/>
            </w:pPr>
            <w:r w:rsidRPr="00E6466A">
              <w:t>118 (F)</w:t>
            </w:r>
          </w:p>
        </w:tc>
        <w:tc>
          <w:tcPr>
            <w:tcW w:w="769" w:type="pct"/>
            <w:tcBorders>
              <w:bottom w:val="single" w:sz="4" w:space="0" w:color="425563"/>
            </w:tcBorders>
          </w:tcPr>
          <w:p w14:paraId="0EEAAAC2" w14:textId="77777777" w:rsidR="00CE7BB0" w:rsidRPr="00E6466A" w:rsidRDefault="00CE7BB0" w:rsidP="00352104">
            <w:pPr>
              <w:pStyle w:val="TableText"/>
              <w:jc w:val="center"/>
            </w:pPr>
            <w:r w:rsidRPr="00E6466A">
              <w:t>74 (E)</w:t>
            </w:r>
          </w:p>
        </w:tc>
      </w:tr>
      <w:tr w:rsidR="00CE7BB0" w:rsidRPr="00E6466A" w14:paraId="48522ADB" w14:textId="77777777" w:rsidTr="00352104">
        <w:tc>
          <w:tcPr>
            <w:tcW w:w="1105" w:type="pct"/>
            <w:vMerge/>
            <w:tcBorders>
              <w:bottom w:val="single" w:sz="4" w:space="0" w:color="425563"/>
            </w:tcBorders>
            <w:vAlign w:val="bottom"/>
          </w:tcPr>
          <w:p w14:paraId="7A4EB6F0" w14:textId="77777777" w:rsidR="00CE7BB0" w:rsidRPr="00E6466A" w:rsidRDefault="00CE7BB0" w:rsidP="00352104">
            <w:pPr>
              <w:pStyle w:val="TableText"/>
            </w:pPr>
          </w:p>
        </w:tc>
        <w:tc>
          <w:tcPr>
            <w:tcW w:w="818" w:type="pct"/>
            <w:tcBorders>
              <w:bottom w:val="single" w:sz="4" w:space="0" w:color="425563"/>
            </w:tcBorders>
            <w:vAlign w:val="center"/>
          </w:tcPr>
          <w:p w14:paraId="38CCFE8A" w14:textId="77777777" w:rsidR="00CE7BB0" w:rsidRPr="00E6466A" w:rsidRDefault="00CE7BB0" w:rsidP="00352104">
            <w:pPr>
              <w:pStyle w:val="TableText"/>
              <w:jc w:val="center"/>
            </w:pPr>
            <w:r w:rsidRPr="00E6466A">
              <w:t>NB</w:t>
            </w:r>
          </w:p>
        </w:tc>
        <w:tc>
          <w:tcPr>
            <w:tcW w:w="769" w:type="pct"/>
            <w:tcBorders>
              <w:bottom w:val="single" w:sz="4" w:space="0" w:color="425563"/>
            </w:tcBorders>
          </w:tcPr>
          <w:p w14:paraId="2B4DB699" w14:textId="77777777" w:rsidR="00CE7BB0" w:rsidRPr="00E6466A" w:rsidRDefault="00CE7BB0" w:rsidP="00352104">
            <w:pPr>
              <w:pStyle w:val="TableText"/>
              <w:jc w:val="center"/>
            </w:pPr>
            <w:r w:rsidRPr="00E6466A">
              <w:t>12 (B)</w:t>
            </w:r>
          </w:p>
        </w:tc>
        <w:tc>
          <w:tcPr>
            <w:tcW w:w="769" w:type="pct"/>
            <w:tcBorders>
              <w:bottom w:val="single" w:sz="4" w:space="0" w:color="425563"/>
            </w:tcBorders>
          </w:tcPr>
          <w:p w14:paraId="5F62C37A" w14:textId="77777777" w:rsidR="00CE7BB0" w:rsidRPr="00E6466A" w:rsidRDefault="00CE7BB0" w:rsidP="00352104">
            <w:pPr>
              <w:pStyle w:val="TableText"/>
              <w:jc w:val="center"/>
            </w:pPr>
            <w:r w:rsidRPr="00E6466A">
              <w:t>14 (B)</w:t>
            </w:r>
          </w:p>
        </w:tc>
        <w:tc>
          <w:tcPr>
            <w:tcW w:w="769" w:type="pct"/>
            <w:tcBorders>
              <w:bottom w:val="single" w:sz="4" w:space="0" w:color="425563"/>
            </w:tcBorders>
          </w:tcPr>
          <w:p w14:paraId="6AF20C7D" w14:textId="77777777" w:rsidR="00CE7BB0" w:rsidRPr="00E6466A" w:rsidRDefault="00CE7BB0" w:rsidP="00352104">
            <w:pPr>
              <w:pStyle w:val="TableText"/>
              <w:jc w:val="center"/>
            </w:pPr>
            <w:r w:rsidRPr="00E6466A">
              <w:t>22 (C)</w:t>
            </w:r>
          </w:p>
        </w:tc>
        <w:tc>
          <w:tcPr>
            <w:tcW w:w="769" w:type="pct"/>
            <w:tcBorders>
              <w:bottom w:val="single" w:sz="4" w:space="0" w:color="425563"/>
            </w:tcBorders>
          </w:tcPr>
          <w:p w14:paraId="62D60A33" w14:textId="77777777" w:rsidR="00CE7BB0" w:rsidRPr="00E6466A" w:rsidRDefault="00CE7BB0" w:rsidP="00352104">
            <w:pPr>
              <w:pStyle w:val="TableText"/>
              <w:jc w:val="center"/>
            </w:pPr>
            <w:r w:rsidRPr="00E6466A">
              <w:t>31 (C)</w:t>
            </w:r>
          </w:p>
        </w:tc>
      </w:tr>
      <w:tr w:rsidR="00CE7BB0" w:rsidRPr="00E6466A" w14:paraId="6A3C6859" w14:textId="77777777" w:rsidTr="00352104">
        <w:tc>
          <w:tcPr>
            <w:tcW w:w="1105" w:type="pct"/>
            <w:vMerge/>
            <w:tcBorders>
              <w:bottom w:val="single" w:sz="12" w:space="0" w:color="D29F13" w:themeColor="accent4"/>
            </w:tcBorders>
            <w:vAlign w:val="bottom"/>
          </w:tcPr>
          <w:p w14:paraId="1342F5B8" w14:textId="77777777" w:rsidR="00CE7BB0" w:rsidRPr="00E6466A" w:rsidRDefault="00CE7BB0" w:rsidP="00352104">
            <w:pPr>
              <w:pStyle w:val="TableText"/>
            </w:pPr>
          </w:p>
        </w:tc>
        <w:tc>
          <w:tcPr>
            <w:tcW w:w="818" w:type="pct"/>
            <w:tcBorders>
              <w:bottom w:val="single" w:sz="12" w:space="0" w:color="D29F13" w:themeColor="accent4"/>
            </w:tcBorders>
            <w:vAlign w:val="center"/>
          </w:tcPr>
          <w:p w14:paraId="0AD94560" w14:textId="77777777" w:rsidR="00CE7BB0" w:rsidRPr="00E6466A" w:rsidRDefault="00CE7BB0" w:rsidP="00352104">
            <w:pPr>
              <w:pStyle w:val="TableText"/>
              <w:jc w:val="center"/>
            </w:pPr>
            <w:r w:rsidRPr="00E6466A">
              <w:t>SB</w:t>
            </w:r>
          </w:p>
        </w:tc>
        <w:tc>
          <w:tcPr>
            <w:tcW w:w="769" w:type="pct"/>
            <w:tcBorders>
              <w:bottom w:val="single" w:sz="12" w:space="0" w:color="D29F13" w:themeColor="accent4"/>
            </w:tcBorders>
          </w:tcPr>
          <w:p w14:paraId="4C4729D3" w14:textId="77777777" w:rsidR="00CE7BB0" w:rsidRPr="00E6466A" w:rsidRDefault="00CE7BB0" w:rsidP="00352104">
            <w:pPr>
              <w:pStyle w:val="TableText"/>
              <w:jc w:val="center"/>
            </w:pPr>
            <w:r w:rsidRPr="00E6466A">
              <w:t>13 (B)</w:t>
            </w:r>
          </w:p>
        </w:tc>
        <w:tc>
          <w:tcPr>
            <w:tcW w:w="769" w:type="pct"/>
            <w:tcBorders>
              <w:bottom w:val="single" w:sz="12" w:space="0" w:color="D29F13" w:themeColor="accent4"/>
            </w:tcBorders>
          </w:tcPr>
          <w:p w14:paraId="611C5519" w14:textId="77777777" w:rsidR="00CE7BB0" w:rsidRPr="00E6466A" w:rsidRDefault="00CE7BB0" w:rsidP="00352104">
            <w:pPr>
              <w:pStyle w:val="TableText"/>
              <w:jc w:val="center"/>
            </w:pPr>
            <w:r w:rsidRPr="00E6466A">
              <w:t>19 (B)</w:t>
            </w:r>
          </w:p>
        </w:tc>
        <w:tc>
          <w:tcPr>
            <w:tcW w:w="769" w:type="pct"/>
            <w:tcBorders>
              <w:bottom w:val="single" w:sz="12" w:space="0" w:color="D29F13" w:themeColor="accent4"/>
            </w:tcBorders>
          </w:tcPr>
          <w:p w14:paraId="16F98AEF" w14:textId="77777777" w:rsidR="00CE7BB0" w:rsidRPr="00E6466A" w:rsidRDefault="00CE7BB0" w:rsidP="00352104">
            <w:pPr>
              <w:pStyle w:val="TableText"/>
              <w:jc w:val="center"/>
            </w:pPr>
            <w:r w:rsidRPr="00E6466A">
              <w:t>30 (C)</w:t>
            </w:r>
          </w:p>
        </w:tc>
        <w:tc>
          <w:tcPr>
            <w:tcW w:w="769" w:type="pct"/>
            <w:tcBorders>
              <w:bottom w:val="single" w:sz="12" w:space="0" w:color="D29F13" w:themeColor="accent4"/>
            </w:tcBorders>
          </w:tcPr>
          <w:p w14:paraId="7E53A70C" w14:textId="77777777" w:rsidR="00CE7BB0" w:rsidRPr="00E6466A" w:rsidRDefault="00CE7BB0" w:rsidP="00352104">
            <w:pPr>
              <w:pStyle w:val="TableText"/>
              <w:jc w:val="center"/>
            </w:pPr>
            <w:r w:rsidRPr="00E6466A">
              <w:t>17 (B)</w:t>
            </w:r>
          </w:p>
        </w:tc>
      </w:tr>
    </w:tbl>
    <w:p w14:paraId="2A7C1B3D" w14:textId="77777777" w:rsidR="00CE7BB0" w:rsidRPr="00E6466A" w:rsidRDefault="00CE7BB0" w:rsidP="00CE7BB0">
      <w:bookmarkStart w:id="5" w:name="_Ref42003494"/>
      <w:r w:rsidRPr="00E6466A">
        <w:t>Under the Baseline Scenario, 2017 PM peak hour volumes at the existing at-grade 120</w:t>
      </w:r>
      <w:r w:rsidRPr="00E6466A">
        <w:rPr>
          <w:vertAlign w:val="superscript"/>
        </w:rPr>
        <w:t>th</w:t>
      </w:r>
      <w:r w:rsidRPr="00E6466A">
        <w:t xml:space="preserve"> Avenue intersection exceed available capacity on the 120</w:t>
      </w:r>
      <w:r w:rsidRPr="00E6466A">
        <w:rPr>
          <w:vertAlign w:val="superscript"/>
        </w:rPr>
        <w:t>th</w:t>
      </w:r>
      <w:r w:rsidRPr="00E6466A">
        <w:t xml:space="preserve"> Avenue approaches. </w:t>
      </w:r>
    </w:p>
    <w:p w14:paraId="762DC521" w14:textId="775A617A" w:rsidR="00CE7BB0" w:rsidRPr="00E6466A" w:rsidRDefault="00CE7BB0" w:rsidP="00CE7BB0">
      <w:r w:rsidRPr="00E6466A">
        <w:t xml:space="preserve">AM and PM peak hour analysis of the 2040 Preferred Scenario indicated that the </w:t>
      </w:r>
      <w:r w:rsidRPr="00583A45">
        <w:t xml:space="preserve">US 85/120th Avenue Grade-Separation and Interchange Project </w:t>
      </w:r>
      <w:r w:rsidRPr="00E6466A">
        <w:t>would be expected to continue to provide excess capacity</w:t>
      </w:r>
      <w:r w:rsidR="007E1811">
        <w:t>.</w:t>
      </w:r>
    </w:p>
    <w:p w14:paraId="54F07840" w14:textId="57112ABC" w:rsidR="00CE7BB0" w:rsidRPr="00E6466A" w:rsidRDefault="00022D3F" w:rsidP="00022D3F">
      <w:pPr>
        <w:pStyle w:val="Caption"/>
      </w:pPr>
      <w:bookmarkStart w:id="6" w:name="_Ref158878621"/>
      <w:bookmarkEnd w:id="5"/>
      <w:r>
        <w:t xml:space="preserve">Table </w:t>
      </w:r>
      <w:r>
        <w:fldChar w:fldCharType="begin"/>
      </w:r>
      <w:r>
        <w:instrText xml:space="preserve"> SEQ Table \* ARABIC </w:instrText>
      </w:r>
      <w:r>
        <w:fldChar w:fldCharType="separate"/>
      </w:r>
      <w:r w:rsidR="00896659">
        <w:rPr>
          <w:noProof/>
        </w:rPr>
        <w:t>4</w:t>
      </w:r>
      <w:r>
        <w:fldChar w:fldCharType="end"/>
      </w:r>
      <w:bookmarkEnd w:id="6"/>
      <w:r w:rsidR="00CE7BB0" w:rsidRPr="00E6466A">
        <w:t>.</w:t>
      </w:r>
      <w:r w:rsidR="00CE7BB0" w:rsidRPr="00E6466A">
        <w:tab/>
        <w:t>AM and PM Peak Hour Approach LOS and Delay (sec/vehicle) – Preferred Scenario</w:t>
      </w:r>
    </w:p>
    <w:tbl>
      <w:tblPr>
        <w:tblStyle w:val="TableGrid"/>
        <w:tblW w:w="5000" w:type="pct"/>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ayout w:type="fixed"/>
        <w:tblLook w:val="04A0" w:firstRow="1" w:lastRow="0" w:firstColumn="1" w:lastColumn="0" w:noHBand="0" w:noVBand="1"/>
      </w:tblPr>
      <w:tblGrid>
        <w:gridCol w:w="2132"/>
        <w:gridCol w:w="1578"/>
        <w:gridCol w:w="1484"/>
        <w:gridCol w:w="1484"/>
        <w:gridCol w:w="1484"/>
        <w:gridCol w:w="1486"/>
      </w:tblGrid>
      <w:tr w:rsidR="00CE7BB0" w:rsidRPr="00E6466A" w14:paraId="78FA1465" w14:textId="77777777" w:rsidTr="00352104">
        <w:tc>
          <w:tcPr>
            <w:tcW w:w="1105" w:type="pct"/>
            <w:vMerge w:val="restart"/>
            <w:shd w:val="clear" w:color="auto" w:fill="D29F13" w:themeFill="accent4"/>
            <w:vAlign w:val="center"/>
          </w:tcPr>
          <w:p w14:paraId="2842136E" w14:textId="77777777" w:rsidR="00CE7BB0" w:rsidRPr="00E6466A" w:rsidRDefault="00CE7BB0" w:rsidP="00352104">
            <w:pPr>
              <w:pStyle w:val="TableHeading"/>
            </w:pPr>
            <w:r w:rsidRPr="00E6466A">
              <w:t>Intersection</w:t>
            </w:r>
          </w:p>
        </w:tc>
        <w:tc>
          <w:tcPr>
            <w:tcW w:w="818" w:type="pct"/>
            <w:vMerge w:val="restart"/>
            <w:shd w:val="clear" w:color="auto" w:fill="D29F13" w:themeFill="accent4"/>
            <w:vAlign w:val="center"/>
          </w:tcPr>
          <w:p w14:paraId="09F0372F" w14:textId="77777777" w:rsidR="00CE7BB0" w:rsidRPr="00E6466A" w:rsidRDefault="00CE7BB0" w:rsidP="00352104">
            <w:pPr>
              <w:pStyle w:val="TableHeading"/>
            </w:pPr>
            <w:r w:rsidRPr="00E6466A">
              <w:t>Approach</w:t>
            </w:r>
          </w:p>
        </w:tc>
        <w:tc>
          <w:tcPr>
            <w:tcW w:w="1538" w:type="pct"/>
            <w:gridSpan w:val="2"/>
            <w:shd w:val="clear" w:color="auto" w:fill="D29F13" w:themeFill="accent4"/>
            <w:vAlign w:val="center"/>
          </w:tcPr>
          <w:p w14:paraId="5F81BFD8" w14:textId="77777777" w:rsidR="00CE7BB0" w:rsidRPr="00E6466A" w:rsidRDefault="00CE7BB0" w:rsidP="00352104">
            <w:pPr>
              <w:pStyle w:val="TableHeading"/>
            </w:pPr>
            <w:r w:rsidRPr="00E6466A">
              <w:t>2017</w:t>
            </w:r>
          </w:p>
        </w:tc>
        <w:tc>
          <w:tcPr>
            <w:tcW w:w="1539" w:type="pct"/>
            <w:gridSpan w:val="2"/>
            <w:shd w:val="clear" w:color="auto" w:fill="D29F13" w:themeFill="accent4"/>
            <w:vAlign w:val="center"/>
          </w:tcPr>
          <w:p w14:paraId="0FA99D09" w14:textId="77777777" w:rsidR="00CE7BB0" w:rsidRPr="00E6466A" w:rsidRDefault="00CE7BB0" w:rsidP="00352104">
            <w:pPr>
              <w:pStyle w:val="TableHeading"/>
            </w:pPr>
            <w:r w:rsidRPr="00E6466A">
              <w:t>2040</w:t>
            </w:r>
          </w:p>
        </w:tc>
      </w:tr>
      <w:tr w:rsidR="00CE7BB0" w:rsidRPr="00E6466A" w14:paraId="228FBE76" w14:textId="77777777" w:rsidTr="00352104">
        <w:tc>
          <w:tcPr>
            <w:tcW w:w="1105" w:type="pct"/>
            <w:vMerge/>
            <w:shd w:val="clear" w:color="auto" w:fill="D29F13" w:themeFill="accent4"/>
            <w:vAlign w:val="center"/>
          </w:tcPr>
          <w:p w14:paraId="2CED5463" w14:textId="77777777" w:rsidR="00CE7BB0" w:rsidRPr="00E6466A" w:rsidRDefault="00CE7BB0" w:rsidP="00352104">
            <w:pPr>
              <w:pStyle w:val="TableHeading"/>
            </w:pPr>
          </w:p>
        </w:tc>
        <w:tc>
          <w:tcPr>
            <w:tcW w:w="818" w:type="pct"/>
            <w:vMerge/>
            <w:shd w:val="clear" w:color="auto" w:fill="D29F13" w:themeFill="accent4"/>
            <w:vAlign w:val="center"/>
          </w:tcPr>
          <w:p w14:paraId="27CB30CF" w14:textId="77777777" w:rsidR="00CE7BB0" w:rsidRPr="00E6466A" w:rsidRDefault="00CE7BB0" w:rsidP="00352104">
            <w:pPr>
              <w:pStyle w:val="TableHeading"/>
            </w:pPr>
          </w:p>
        </w:tc>
        <w:tc>
          <w:tcPr>
            <w:tcW w:w="769" w:type="pct"/>
            <w:shd w:val="clear" w:color="auto" w:fill="D29F13" w:themeFill="accent4"/>
            <w:vAlign w:val="center"/>
          </w:tcPr>
          <w:p w14:paraId="391C3CAE" w14:textId="77777777" w:rsidR="00CE7BB0" w:rsidRPr="00E6466A" w:rsidRDefault="00CE7BB0" w:rsidP="00352104">
            <w:pPr>
              <w:pStyle w:val="TableHeading"/>
            </w:pPr>
            <w:r w:rsidRPr="00E6466A">
              <w:t>AM</w:t>
            </w:r>
          </w:p>
        </w:tc>
        <w:tc>
          <w:tcPr>
            <w:tcW w:w="769" w:type="pct"/>
            <w:shd w:val="clear" w:color="auto" w:fill="D29F13" w:themeFill="accent4"/>
            <w:vAlign w:val="center"/>
          </w:tcPr>
          <w:p w14:paraId="0B50C3FE" w14:textId="77777777" w:rsidR="00CE7BB0" w:rsidRPr="00E6466A" w:rsidRDefault="00CE7BB0" w:rsidP="00352104">
            <w:pPr>
              <w:pStyle w:val="TableHeading"/>
            </w:pPr>
            <w:r w:rsidRPr="00E6466A">
              <w:t>PM</w:t>
            </w:r>
          </w:p>
        </w:tc>
        <w:tc>
          <w:tcPr>
            <w:tcW w:w="769" w:type="pct"/>
            <w:shd w:val="clear" w:color="auto" w:fill="D29F13" w:themeFill="accent4"/>
            <w:vAlign w:val="center"/>
          </w:tcPr>
          <w:p w14:paraId="347BA684" w14:textId="77777777" w:rsidR="00CE7BB0" w:rsidRPr="00E6466A" w:rsidRDefault="00CE7BB0" w:rsidP="00352104">
            <w:pPr>
              <w:pStyle w:val="TableHeading"/>
            </w:pPr>
            <w:r w:rsidRPr="00E6466A">
              <w:t>AM</w:t>
            </w:r>
          </w:p>
        </w:tc>
        <w:tc>
          <w:tcPr>
            <w:tcW w:w="770" w:type="pct"/>
            <w:shd w:val="clear" w:color="auto" w:fill="D29F13" w:themeFill="accent4"/>
            <w:vAlign w:val="center"/>
          </w:tcPr>
          <w:p w14:paraId="06AFD51F" w14:textId="77777777" w:rsidR="00CE7BB0" w:rsidRPr="00E6466A" w:rsidRDefault="00CE7BB0" w:rsidP="00352104">
            <w:pPr>
              <w:pStyle w:val="TableHeading"/>
            </w:pPr>
            <w:r w:rsidRPr="00E6466A">
              <w:t>PM</w:t>
            </w:r>
          </w:p>
        </w:tc>
      </w:tr>
      <w:tr w:rsidR="00CE7BB0" w:rsidRPr="00E6466A" w14:paraId="29B39B58" w14:textId="77777777" w:rsidTr="00352104">
        <w:tc>
          <w:tcPr>
            <w:tcW w:w="1105" w:type="pct"/>
            <w:vMerge w:val="restart"/>
            <w:vAlign w:val="center"/>
          </w:tcPr>
          <w:p w14:paraId="7F8A712E" w14:textId="77777777" w:rsidR="00CE7BB0" w:rsidRPr="00E6466A" w:rsidRDefault="00CE7BB0" w:rsidP="00352104">
            <w:pPr>
              <w:pStyle w:val="TableText"/>
            </w:pPr>
            <w:r w:rsidRPr="00E6466A">
              <w:t>US 85 at 120</w:t>
            </w:r>
            <w:r w:rsidRPr="00E6466A">
              <w:rPr>
                <w:vertAlign w:val="superscript"/>
              </w:rPr>
              <w:t>th</w:t>
            </w:r>
            <w:r w:rsidRPr="00E6466A">
              <w:t xml:space="preserve"> Avenue SB Ramp Terminal</w:t>
            </w:r>
          </w:p>
        </w:tc>
        <w:tc>
          <w:tcPr>
            <w:tcW w:w="818" w:type="pct"/>
            <w:vAlign w:val="center"/>
          </w:tcPr>
          <w:p w14:paraId="7D24FA60" w14:textId="77777777" w:rsidR="00CE7BB0" w:rsidRPr="00E6466A" w:rsidRDefault="00CE7BB0" w:rsidP="00352104">
            <w:pPr>
              <w:pStyle w:val="TableText"/>
              <w:jc w:val="center"/>
            </w:pPr>
            <w:r w:rsidRPr="00E6466A">
              <w:t>WB</w:t>
            </w:r>
          </w:p>
        </w:tc>
        <w:tc>
          <w:tcPr>
            <w:tcW w:w="769" w:type="pct"/>
          </w:tcPr>
          <w:p w14:paraId="0EA64112" w14:textId="77777777" w:rsidR="00CE7BB0" w:rsidRPr="00E6466A" w:rsidRDefault="00CE7BB0" w:rsidP="00352104">
            <w:pPr>
              <w:pStyle w:val="TableText"/>
              <w:jc w:val="center"/>
              <w:rPr>
                <w:color w:val="000000"/>
                <w:szCs w:val="20"/>
              </w:rPr>
            </w:pPr>
            <w:r w:rsidRPr="00E6466A">
              <w:t>18 (B)</w:t>
            </w:r>
          </w:p>
        </w:tc>
        <w:tc>
          <w:tcPr>
            <w:tcW w:w="769" w:type="pct"/>
          </w:tcPr>
          <w:p w14:paraId="1B1AFD53" w14:textId="77777777" w:rsidR="00CE7BB0" w:rsidRPr="00E6466A" w:rsidRDefault="00CE7BB0" w:rsidP="00352104">
            <w:pPr>
              <w:pStyle w:val="TableText"/>
              <w:jc w:val="center"/>
              <w:rPr>
                <w:color w:val="000000"/>
                <w:szCs w:val="20"/>
              </w:rPr>
            </w:pPr>
            <w:r w:rsidRPr="00E6466A">
              <w:t>18 (B)</w:t>
            </w:r>
          </w:p>
        </w:tc>
        <w:tc>
          <w:tcPr>
            <w:tcW w:w="769" w:type="pct"/>
          </w:tcPr>
          <w:p w14:paraId="75750BF3" w14:textId="77777777" w:rsidR="00CE7BB0" w:rsidRPr="00E6466A" w:rsidRDefault="00CE7BB0" w:rsidP="00352104">
            <w:pPr>
              <w:pStyle w:val="TableText"/>
              <w:jc w:val="center"/>
              <w:rPr>
                <w:color w:val="000000"/>
                <w:szCs w:val="20"/>
              </w:rPr>
            </w:pPr>
            <w:r w:rsidRPr="00E6466A">
              <w:t>16 (B)</w:t>
            </w:r>
          </w:p>
        </w:tc>
        <w:tc>
          <w:tcPr>
            <w:tcW w:w="770" w:type="pct"/>
          </w:tcPr>
          <w:p w14:paraId="26586F53" w14:textId="77777777" w:rsidR="00CE7BB0" w:rsidRPr="00E6466A" w:rsidRDefault="00CE7BB0" w:rsidP="00352104">
            <w:pPr>
              <w:pStyle w:val="TableText"/>
              <w:jc w:val="center"/>
              <w:rPr>
                <w:color w:val="000000"/>
                <w:szCs w:val="20"/>
              </w:rPr>
            </w:pPr>
            <w:r w:rsidRPr="00E6466A">
              <w:t>14 (B)</w:t>
            </w:r>
          </w:p>
        </w:tc>
      </w:tr>
      <w:tr w:rsidR="00CE7BB0" w:rsidRPr="00E6466A" w14:paraId="5B0BFDD3" w14:textId="77777777" w:rsidTr="00352104">
        <w:tc>
          <w:tcPr>
            <w:tcW w:w="1105" w:type="pct"/>
            <w:vMerge/>
            <w:vAlign w:val="center"/>
          </w:tcPr>
          <w:p w14:paraId="6A5B50CA" w14:textId="77777777" w:rsidR="00CE7BB0" w:rsidRPr="00E6466A" w:rsidRDefault="00CE7BB0" w:rsidP="00352104">
            <w:pPr>
              <w:pStyle w:val="TableText"/>
            </w:pPr>
          </w:p>
        </w:tc>
        <w:tc>
          <w:tcPr>
            <w:tcW w:w="818" w:type="pct"/>
            <w:vAlign w:val="center"/>
          </w:tcPr>
          <w:p w14:paraId="4C373CB5" w14:textId="77777777" w:rsidR="00CE7BB0" w:rsidRPr="00E6466A" w:rsidRDefault="00CE7BB0" w:rsidP="00352104">
            <w:pPr>
              <w:pStyle w:val="TableText"/>
              <w:jc w:val="center"/>
            </w:pPr>
            <w:r w:rsidRPr="00E6466A">
              <w:t>EB</w:t>
            </w:r>
          </w:p>
        </w:tc>
        <w:tc>
          <w:tcPr>
            <w:tcW w:w="769" w:type="pct"/>
          </w:tcPr>
          <w:p w14:paraId="7E20D819" w14:textId="77777777" w:rsidR="00CE7BB0" w:rsidRPr="00E6466A" w:rsidRDefault="00CE7BB0" w:rsidP="00352104">
            <w:pPr>
              <w:pStyle w:val="TableText"/>
              <w:jc w:val="center"/>
              <w:rPr>
                <w:color w:val="000000"/>
                <w:szCs w:val="20"/>
              </w:rPr>
            </w:pPr>
            <w:r w:rsidRPr="00E6466A">
              <w:t>12 (B)</w:t>
            </w:r>
          </w:p>
        </w:tc>
        <w:tc>
          <w:tcPr>
            <w:tcW w:w="769" w:type="pct"/>
          </w:tcPr>
          <w:p w14:paraId="4D0F29F2" w14:textId="77777777" w:rsidR="00CE7BB0" w:rsidRPr="00E6466A" w:rsidRDefault="00CE7BB0" w:rsidP="00352104">
            <w:pPr>
              <w:pStyle w:val="TableText"/>
              <w:jc w:val="center"/>
              <w:rPr>
                <w:color w:val="000000"/>
                <w:szCs w:val="20"/>
              </w:rPr>
            </w:pPr>
            <w:r w:rsidRPr="00E6466A">
              <w:t>18 (B)</w:t>
            </w:r>
          </w:p>
        </w:tc>
        <w:tc>
          <w:tcPr>
            <w:tcW w:w="769" w:type="pct"/>
          </w:tcPr>
          <w:p w14:paraId="59C91449" w14:textId="77777777" w:rsidR="00CE7BB0" w:rsidRPr="00E6466A" w:rsidRDefault="00CE7BB0" w:rsidP="00352104">
            <w:pPr>
              <w:pStyle w:val="TableText"/>
              <w:jc w:val="center"/>
              <w:rPr>
                <w:color w:val="000000"/>
                <w:szCs w:val="20"/>
              </w:rPr>
            </w:pPr>
            <w:r w:rsidRPr="00E6466A">
              <w:t>18 (B)</w:t>
            </w:r>
          </w:p>
        </w:tc>
        <w:tc>
          <w:tcPr>
            <w:tcW w:w="770" w:type="pct"/>
          </w:tcPr>
          <w:p w14:paraId="121C1987" w14:textId="77777777" w:rsidR="00CE7BB0" w:rsidRPr="00E6466A" w:rsidRDefault="00CE7BB0" w:rsidP="00352104">
            <w:pPr>
              <w:pStyle w:val="TableText"/>
              <w:jc w:val="center"/>
              <w:rPr>
                <w:color w:val="000000"/>
                <w:szCs w:val="20"/>
              </w:rPr>
            </w:pPr>
            <w:r w:rsidRPr="00E6466A">
              <w:t>25 (B)</w:t>
            </w:r>
          </w:p>
        </w:tc>
      </w:tr>
      <w:tr w:rsidR="00CE7BB0" w:rsidRPr="00E6466A" w14:paraId="547EE366" w14:textId="77777777" w:rsidTr="00352104">
        <w:tc>
          <w:tcPr>
            <w:tcW w:w="1105" w:type="pct"/>
            <w:vMerge/>
            <w:tcBorders>
              <w:bottom w:val="single" w:sz="4" w:space="0" w:color="425563"/>
            </w:tcBorders>
            <w:vAlign w:val="center"/>
          </w:tcPr>
          <w:p w14:paraId="761560D0" w14:textId="77777777" w:rsidR="00CE7BB0" w:rsidRPr="00E6466A" w:rsidRDefault="00CE7BB0" w:rsidP="00352104">
            <w:pPr>
              <w:pStyle w:val="TableText"/>
            </w:pPr>
          </w:p>
        </w:tc>
        <w:tc>
          <w:tcPr>
            <w:tcW w:w="818" w:type="pct"/>
            <w:tcBorders>
              <w:bottom w:val="single" w:sz="4" w:space="0" w:color="425563"/>
            </w:tcBorders>
            <w:vAlign w:val="center"/>
          </w:tcPr>
          <w:p w14:paraId="2D30119C" w14:textId="77777777" w:rsidR="00CE7BB0" w:rsidRPr="00E6466A" w:rsidRDefault="00CE7BB0" w:rsidP="00352104">
            <w:pPr>
              <w:pStyle w:val="TableText"/>
              <w:jc w:val="center"/>
            </w:pPr>
            <w:r w:rsidRPr="00E6466A">
              <w:t>SB</w:t>
            </w:r>
          </w:p>
        </w:tc>
        <w:tc>
          <w:tcPr>
            <w:tcW w:w="769" w:type="pct"/>
            <w:tcBorders>
              <w:bottom w:val="single" w:sz="4" w:space="0" w:color="425563"/>
            </w:tcBorders>
          </w:tcPr>
          <w:p w14:paraId="282065DD" w14:textId="77777777" w:rsidR="00CE7BB0" w:rsidRPr="00E6466A" w:rsidRDefault="00CE7BB0" w:rsidP="00352104">
            <w:pPr>
              <w:pStyle w:val="TableText"/>
              <w:jc w:val="center"/>
              <w:rPr>
                <w:color w:val="000000"/>
                <w:szCs w:val="20"/>
              </w:rPr>
            </w:pPr>
            <w:r w:rsidRPr="00E6466A">
              <w:t>6 (A)</w:t>
            </w:r>
          </w:p>
        </w:tc>
        <w:tc>
          <w:tcPr>
            <w:tcW w:w="769" w:type="pct"/>
            <w:tcBorders>
              <w:bottom w:val="single" w:sz="4" w:space="0" w:color="425563"/>
            </w:tcBorders>
          </w:tcPr>
          <w:p w14:paraId="7DF0A11A" w14:textId="77777777" w:rsidR="00CE7BB0" w:rsidRPr="00E6466A" w:rsidRDefault="00CE7BB0" w:rsidP="00352104">
            <w:pPr>
              <w:pStyle w:val="TableText"/>
              <w:jc w:val="center"/>
              <w:rPr>
                <w:color w:val="000000"/>
                <w:szCs w:val="20"/>
              </w:rPr>
            </w:pPr>
            <w:r w:rsidRPr="00E6466A">
              <w:t>6 (A)</w:t>
            </w:r>
          </w:p>
        </w:tc>
        <w:tc>
          <w:tcPr>
            <w:tcW w:w="769" w:type="pct"/>
            <w:tcBorders>
              <w:bottom w:val="single" w:sz="4" w:space="0" w:color="425563"/>
            </w:tcBorders>
          </w:tcPr>
          <w:p w14:paraId="13617023" w14:textId="77777777" w:rsidR="00CE7BB0" w:rsidRPr="00E6466A" w:rsidRDefault="00CE7BB0" w:rsidP="00352104">
            <w:pPr>
              <w:pStyle w:val="TableText"/>
              <w:jc w:val="center"/>
              <w:rPr>
                <w:color w:val="000000"/>
                <w:szCs w:val="20"/>
              </w:rPr>
            </w:pPr>
            <w:r w:rsidRPr="00E6466A">
              <w:t>7 (A)</w:t>
            </w:r>
          </w:p>
        </w:tc>
        <w:tc>
          <w:tcPr>
            <w:tcW w:w="770" w:type="pct"/>
            <w:tcBorders>
              <w:bottom w:val="single" w:sz="4" w:space="0" w:color="425563"/>
            </w:tcBorders>
          </w:tcPr>
          <w:p w14:paraId="1C17B4C6" w14:textId="77777777" w:rsidR="00CE7BB0" w:rsidRPr="00E6466A" w:rsidRDefault="00CE7BB0" w:rsidP="00352104">
            <w:pPr>
              <w:pStyle w:val="TableText"/>
              <w:jc w:val="center"/>
              <w:rPr>
                <w:color w:val="000000"/>
                <w:szCs w:val="20"/>
              </w:rPr>
            </w:pPr>
            <w:r w:rsidRPr="00E6466A">
              <w:t>9(A)</w:t>
            </w:r>
          </w:p>
        </w:tc>
      </w:tr>
      <w:tr w:rsidR="00CE7BB0" w:rsidRPr="00E6466A" w14:paraId="52558EE2" w14:textId="77777777" w:rsidTr="00352104">
        <w:tc>
          <w:tcPr>
            <w:tcW w:w="1105" w:type="pct"/>
            <w:vMerge w:val="restart"/>
            <w:vAlign w:val="center"/>
          </w:tcPr>
          <w:p w14:paraId="22E6A73C" w14:textId="77777777" w:rsidR="00CE7BB0" w:rsidRPr="00E6466A" w:rsidRDefault="00CE7BB0" w:rsidP="00352104">
            <w:pPr>
              <w:pStyle w:val="TableText"/>
            </w:pPr>
            <w:r w:rsidRPr="00E6466A">
              <w:t>US 85 at 120</w:t>
            </w:r>
            <w:r w:rsidRPr="00E6466A">
              <w:rPr>
                <w:vertAlign w:val="superscript"/>
              </w:rPr>
              <w:t>th</w:t>
            </w:r>
            <w:r w:rsidRPr="00E6466A">
              <w:t xml:space="preserve"> Avenue NB Ramp Terminal</w:t>
            </w:r>
          </w:p>
        </w:tc>
        <w:tc>
          <w:tcPr>
            <w:tcW w:w="818" w:type="pct"/>
            <w:tcBorders>
              <w:bottom w:val="single" w:sz="4" w:space="0" w:color="425563"/>
            </w:tcBorders>
            <w:vAlign w:val="center"/>
          </w:tcPr>
          <w:p w14:paraId="05AA60D9" w14:textId="77777777" w:rsidR="00CE7BB0" w:rsidRPr="00E6466A" w:rsidRDefault="00CE7BB0" w:rsidP="00352104">
            <w:pPr>
              <w:pStyle w:val="TableText"/>
              <w:jc w:val="center"/>
            </w:pPr>
            <w:r w:rsidRPr="00E6466A">
              <w:t>WB</w:t>
            </w:r>
          </w:p>
        </w:tc>
        <w:tc>
          <w:tcPr>
            <w:tcW w:w="769" w:type="pct"/>
            <w:tcBorders>
              <w:bottom w:val="single" w:sz="4" w:space="0" w:color="425563"/>
            </w:tcBorders>
          </w:tcPr>
          <w:p w14:paraId="74521336" w14:textId="77777777" w:rsidR="00CE7BB0" w:rsidRPr="00E6466A" w:rsidRDefault="00CE7BB0" w:rsidP="00352104">
            <w:pPr>
              <w:pStyle w:val="TableText"/>
              <w:jc w:val="center"/>
              <w:rPr>
                <w:color w:val="000000"/>
                <w:szCs w:val="20"/>
              </w:rPr>
            </w:pPr>
            <w:r w:rsidRPr="00E6466A">
              <w:t>12 (B)</w:t>
            </w:r>
          </w:p>
        </w:tc>
        <w:tc>
          <w:tcPr>
            <w:tcW w:w="769" w:type="pct"/>
            <w:tcBorders>
              <w:bottom w:val="single" w:sz="4" w:space="0" w:color="425563"/>
            </w:tcBorders>
          </w:tcPr>
          <w:p w14:paraId="0BB7E92B" w14:textId="77777777" w:rsidR="00CE7BB0" w:rsidRPr="00E6466A" w:rsidRDefault="00CE7BB0" w:rsidP="00352104">
            <w:pPr>
              <w:pStyle w:val="TableText"/>
              <w:jc w:val="center"/>
              <w:rPr>
                <w:color w:val="000000"/>
                <w:szCs w:val="20"/>
              </w:rPr>
            </w:pPr>
            <w:r w:rsidRPr="00E6466A">
              <w:t>10 (B)</w:t>
            </w:r>
          </w:p>
        </w:tc>
        <w:tc>
          <w:tcPr>
            <w:tcW w:w="769" w:type="pct"/>
            <w:tcBorders>
              <w:bottom w:val="single" w:sz="4" w:space="0" w:color="425563"/>
            </w:tcBorders>
          </w:tcPr>
          <w:p w14:paraId="2978D57D" w14:textId="77777777" w:rsidR="00CE7BB0" w:rsidRPr="00E6466A" w:rsidRDefault="00CE7BB0" w:rsidP="00352104">
            <w:pPr>
              <w:pStyle w:val="TableText"/>
              <w:jc w:val="center"/>
              <w:rPr>
                <w:color w:val="000000"/>
                <w:szCs w:val="20"/>
              </w:rPr>
            </w:pPr>
            <w:r w:rsidRPr="00E6466A">
              <w:t>14 (B)</w:t>
            </w:r>
          </w:p>
        </w:tc>
        <w:tc>
          <w:tcPr>
            <w:tcW w:w="770" w:type="pct"/>
            <w:tcBorders>
              <w:bottom w:val="single" w:sz="4" w:space="0" w:color="425563"/>
            </w:tcBorders>
          </w:tcPr>
          <w:p w14:paraId="1BA2DF19" w14:textId="77777777" w:rsidR="00CE7BB0" w:rsidRPr="00E6466A" w:rsidRDefault="00CE7BB0" w:rsidP="00352104">
            <w:pPr>
              <w:pStyle w:val="TableText"/>
              <w:jc w:val="center"/>
              <w:rPr>
                <w:color w:val="000000"/>
                <w:szCs w:val="20"/>
              </w:rPr>
            </w:pPr>
            <w:r w:rsidRPr="00E6466A">
              <w:t>13 (B)</w:t>
            </w:r>
          </w:p>
        </w:tc>
      </w:tr>
      <w:tr w:rsidR="00CE7BB0" w:rsidRPr="00E6466A" w14:paraId="436C4325" w14:textId="77777777" w:rsidTr="00352104">
        <w:tc>
          <w:tcPr>
            <w:tcW w:w="1105" w:type="pct"/>
            <w:vMerge/>
            <w:vAlign w:val="bottom"/>
          </w:tcPr>
          <w:p w14:paraId="375754E9" w14:textId="77777777" w:rsidR="00CE7BB0" w:rsidRPr="00E6466A" w:rsidRDefault="00CE7BB0" w:rsidP="00352104">
            <w:pPr>
              <w:pStyle w:val="TableText"/>
            </w:pPr>
          </w:p>
        </w:tc>
        <w:tc>
          <w:tcPr>
            <w:tcW w:w="818" w:type="pct"/>
            <w:tcBorders>
              <w:bottom w:val="single" w:sz="4" w:space="0" w:color="425563"/>
            </w:tcBorders>
            <w:vAlign w:val="center"/>
          </w:tcPr>
          <w:p w14:paraId="2C613C32" w14:textId="77777777" w:rsidR="00CE7BB0" w:rsidRPr="00E6466A" w:rsidRDefault="00CE7BB0" w:rsidP="00352104">
            <w:pPr>
              <w:pStyle w:val="TableText"/>
              <w:jc w:val="center"/>
            </w:pPr>
            <w:r w:rsidRPr="00E6466A">
              <w:t>EB</w:t>
            </w:r>
          </w:p>
        </w:tc>
        <w:tc>
          <w:tcPr>
            <w:tcW w:w="769" w:type="pct"/>
            <w:tcBorders>
              <w:bottom w:val="single" w:sz="4" w:space="0" w:color="425563"/>
            </w:tcBorders>
          </w:tcPr>
          <w:p w14:paraId="294F23EE" w14:textId="77777777" w:rsidR="00CE7BB0" w:rsidRPr="00E6466A" w:rsidRDefault="00CE7BB0" w:rsidP="00352104">
            <w:pPr>
              <w:pStyle w:val="TableText"/>
              <w:jc w:val="center"/>
              <w:rPr>
                <w:color w:val="000000"/>
                <w:szCs w:val="20"/>
              </w:rPr>
            </w:pPr>
            <w:r w:rsidRPr="00E6466A">
              <w:t>17 (B)</w:t>
            </w:r>
          </w:p>
        </w:tc>
        <w:tc>
          <w:tcPr>
            <w:tcW w:w="769" w:type="pct"/>
            <w:tcBorders>
              <w:bottom w:val="single" w:sz="4" w:space="0" w:color="425563"/>
            </w:tcBorders>
          </w:tcPr>
          <w:p w14:paraId="5C222C2A" w14:textId="77777777" w:rsidR="00CE7BB0" w:rsidRPr="00E6466A" w:rsidRDefault="00CE7BB0" w:rsidP="00352104">
            <w:pPr>
              <w:pStyle w:val="TableText"/>
              <w:jc w:val="center"/>
              <w:rPr>
                <w:color w:val="000000"/>
                <w:szCs w:val="20"/>
              </w:rPr>
            </w:pPr>
            <w:r w:rsidRPr="00E6466A">
              <w:t>30 (C)</w:t>
            </w:r>
          </w:p>
        </w:tc>
        <w:tc>
          <w:tcPr>
            <w:tcW w:w="769" w:type="pct"/>
            <w:tcBorders>
              <w:bottom w:val="single" w:sz="4" w:space="0" w:color="425563"/>
            </w:tcBorders>
          </w:tcPr>
          <w:p w14:paraId="260524C5" w14:textId="77777777" w:rsidR="00CE7BB0" w:rsidRPr="00E6466A" w:rsidRDefault="00CE7BB0" w:rsidP="00352104">
            <w:pPr>
              <w:pStyle w:val="TableText"/>
              <w:jc w:val="center"/>
              <w:rPr>
                <w:color w:val="000000"/>
                <w:szCs w:val="20"/>
              </w:rPr>
            </w:pPr>
            <w:r w:rsidRPr="00E6466A">
              <w:t>19 (B)</w:t>
            </w:r>
          </w:p>
        </w:tc>
        <w:tc>
          <w:tcPr>
            <w:tcW w:w="770" w:type="pct"/>
            <w:tcBorders>
              <w:bottom w:val="single" w:sz="4" w:space="0" w:color="425563"/>
            </w:tcBorders>
          </w:tcPr>
          <w:p w14:paraId="2E60676B" w14:textId="77777777" w:rsidR="00CE7BB0" w:rsidRPr="00E6466A" w:rsidRDefault="00CE7BB0" w:rsidP="00352104">
            <w:pPr>
              <w:pStyle w:val="TableText"/>
              <w:jc w:val="center"/>
              <w:rPr>
                <w:color w:val="000000"/>
                <w:szCs w:val="20"/>
              </w:rPr>
            </w:pPr>
            <w:r w:rsidRPr="00E6466A">
              <w:t>35 (C)</w:t>
            </w:r>
          </w:p>
        </w:tc>
      </w:tr>
      <w:tr w:rsidR="00CE7BB0" w:rsidRPr="00E6466A" w14:paraId="772B792D" w14:textId="77777777" w:rsidTr="00352104">
        <w:trPr>
          <w:trHeight w:val="71"/>
        </w:trPr>
        <w:tc>
          <w:tcPr>
            <w:tcW w:w="1105" w:type="pct"/>
            <w:vMerge/>
            <w:tcBorders>
              <w:bottom w:val="single" w:sz="4" w:space="0" w:color="425563"/>
            </w:tcBorders>
            <w:vAlign w:val="bottom"/>
          </w:tcPr>
          <w:p w14:paraId="2B58C307" w14:textId="77777777" w:rsidR="00CE7BB0" w:rsidRPr="00E6466A" w:rsidRDefault="00CE7BB0" w:rsidP="00352104">
            <w:pPr>
              <w:pStyle w:val="TableText"/>
            </w:pPr>
          </w:p>
        </w:tc>
        <w:tc>
          <w:tcPr>
            <w:tcW w:w="818" w:type="pct"/>
            <w:tcBorders>
              <w:bottom w:val="single" w:sz="4" w:space="0" w:color="425563"/>
            </w:tcBorders>
            <w:vAlign w:val="center"/>
          </w:tcPr>
          <w:p w14:paraId="073E9C31" w14:textId="77777777" w:rsidR="00CE7BB0" w:rsidRPr="00E6466A" w:rsidRDefault="00CE7BB0" w:rsidP="00352104">
            <w:pPr>
              <w:pStyle w:val="TableText"/>
              <w:jc w:val="center"/>
            </w:pPr>
            <w:r w:rsidRPr="00E6466A">
              <w:t>NB</w:t>
            </w:r>
          </w:p>
        </w:tc>
        <w:tc>
          <w:tcPr>
            <w:tcW w:w="769" w:type="pct"/>
            <w:tcBorders>
              <w:bottom w:val="single" w:sz="4" w:space="0" w:color="425563"/>
            </w:tcBorders>
          </w:tcPr>
          <w:p w14:paraId="07FAC392" w14:textId="77777777" w:rsidR="00CE7BB0" w:rsidRPr="00E6466A" w:rsidRDefault="00CE7BB0" w:rsidP="00352104">
            <w:pPr>
              <w:pStyle w:val="TableText"/>
              <w:jc w:val="center"/>
              <w:rPr>
                <w:color w:val="000000"/>
                <w:szCs w:val="20"/>
              </w:rPr>
            </w:pPr>
            <w:r w:rsidRPr="00E6466A">
              <w:t>6 (A)</w:t>
            </w:r>
          </w:p>
        </w:tc>
        <w:tc>
          <w:tcPr>
            <w:tcW w:w="769" w:type="pct"/>
            <w:tcBorders>
              <w:bottom w:val="single" w:sz="4" w:space="0" w:color="425563"/>
            </w:tcBorders>
          </w:tcPr>
          <w:p w14:paraId="3A2D5B42" w14:textId="77777777" w:rsidR="00CE7BB0" w:rsidRPr="00E6466A" w:rsidRDefault="00CE7BB0" w:rsidP="00352104">
            <w:pPr>
              <w:pStyle w:val="TableText"/>
              <w:jc w:val="center"/>
              <w:rPr>
                <w:color w:val="000000"/>
                <w:szCs w:val="20"/>
              </w:rPr>
            </w:pPr>
            <w:r w:rsidRPr="00E6466A">
              <w:t>6 (A)</w:t>
            </w:r>
          </w:p>
        </w:tc>
        <w:tc>
          <w:tcPr>
            <w:tcW w:w="769" w:type="pct"/>
            <w:tcBorders>
              <w:bottom w:val="single" w:sz="4" w:space="0" w:color="425563"/>
            </w:tcBorders>
          </w:tcPr>
          <w:p w14:paraId="7912B4AF" w14:textId="77777777" w:rsidR="00CE7BB0" w:rsidRPr="00E6466A" w:rsidRDefault="00CE7BB0" w:rsidP="00352104">
            <w:pPr>
              <w:pStyle w:val="TableText"/>
              <w:jc w:val="center"/>
              <w:rPr>
                <w:color w:val="000000"/>
                <w:szCs w:val="20"/>
              </w:rPr>
            </w:pPr>
            <w:r w:rsidRPr="00E6466A">
              <w:t>8 (A)</w:t>
            </w:r>
          </w:p>
        </w:tc>
        <w:tc>
          <w:tcPr>
            <w:tcW w:w="770" w:type="pct"/>
            <w:tcBorders>
              <w:bottom w:val="single" w:sz="4" w:space="0" w:color="425563"/>
            </w:tcBorders>
          </w:tcPr>
          <w:p w14:paraId="5DAAA93D" w14:textId="77777777" w:rsidR="00CE7BB0" w:rsidRPr="00E6466A" w:rsidRDefault="00CE7BB0" w:rsidP="00352104">
            <w:pPr>
              <w:pStyle w:val="TableText"/>
              <w:jc w:val="center"/>
              <w:rPr>
                <w:color w:val="000000"/>
                <w:szCs w:val="20"/>
              </w:rPr>
            </w:pPr>
            <w:r w:rsidRPr="00E6466A">
              <w:t>9(A)</w:t>
            </w:r>
          </w:p>
        </w:tc>
      </w:tr>
      <w:tr w:rsidR="00CE7BB0" w:rsidRPr="00E6466A" w14:paraId="78A0A65B" w14:textId="77777777" w:rsidTr="00352104">
        <w:tc>
          <w:tcPr>
            <w:tcW w:w="1105" w:type="pct"/>
            <w:tcBorders>
              <w:bottom w:val="single" w:sz="12" w:space="0" w:color="D29F13" w:themeColor="accent4"/>
            </w:tcBorders>
            <w:vAlign w:val="bottom"/>
          </w:tcPr>
          <w:p w14:paraId="59D4A264" w14:textId="77777777" w:rsidR="00CE7BB0" w:rsidRPr="00E6466A" w:rsidRDefault="00CE7BB0" w:rsidP="00352104">
            <w:pPr>
              <w:pStyle w:val="TableText"/>
            </w:pPr>
            <w:r w:rsidRPr="00E6466A">
              <w:t>US 85 at 124</w:t>
            </w:r>
            <w:r w:rsidRPr="00E6466A">
              <w:rPr>
                <w:vertAlign w:val="superscript"/>
              </w:rPr>
              <w:t>th</w:t>
            </w:r>
            <w:r w:rsidRPr="00E6466A">
              <w:t xml:space="preserve"> Avenue</w:t>
            </w:r>
          </w:p>
        </w:tc>
        <w:tc>
          <w:tcPr>
            <w:tcW w:w="3895" w:type="pct"/>
            <w:gridSpan w:val="5"/>
            <w:tcBorders>
              <w:bottom w:val="single" w:sz="12" w:space="0" w:color="D29F13" w:themeColor="accent4"/>
            </w:tcBorders>
            <w:vAlign w:val="center"/>
          </w:tcPr>
          <w:p w14:paraId="4D66B7A9" w14:textId="77777777" w:rsidR="00CE7BB0" w:rsidRPr="00E6466A" w:rsidRDefault="00CE7BB0" w:rsidP="00352104">
            <w:pPr>
              <w:pStyle w:val="TableText"/>
              <w:jc w:val="center"/>
            </w:pPr>
            <w:r w:rsidRPr="00E6466A">
              <w:t>CLOSED under the Preferred Scenario</w:t>
            </w:r>
          </w:p>
        </w:tc>
      </w:tr>
    </w:tbl>
    <w:p w14:paraId="461AFAB4" w14:textId="77777777" w:rsidR="00CE7BB0" w:rsidRPr="00E6466A" w:rsidRDefault="00CE7BB0" w:rsidP="00CE7BB0">
      <w:r w:rsidRPr="00E6466A">
        <w:t>Like the peak hour volumes, AM and PM peak hour average approach vehicular delay for years 2018-2039 and for years 2041-205</w:t>
      </w:r>
      <w:r>
        <w:t>5</w:t>
      </w:r>
      <w:r w:rsidRPr="00E6466A">
        <w:t xml:space="preserve"> were estimated using straight line interpolation. </w:t>
      </w:r>
    </w:p>
    <w:p w14:paraId="141098CB" w14:textId="77777777" w:rsidR="00CE7BB0" w:rsidRPr="00E6466A" w:rsidRDefault="00CE7BB0" w:rsidP="00CE7BB0">
      <w:r w:rsidRPr="00E6466A">
        <w:t>The combined AM and PM peak hour intersection stop delay, together, was assumed to reflect approximately 40 percent of the total daily delay, so a factor of 2.5 was applied to the sum of the two AM and PM peak hour delays to estimate daily delay. These two hours in combination generally only represent 15 to 20 percent of the daily traffic, but because delay increases exponentially as traffic increases, a 40 percent assumption was used for daily delay calculations.</w:t>
      </w:r>
    </w:p>
    <w:p w14:paraId="5BC26F92" w14:textId="77777777" w:rsidR="00CE7BB0" w:rsidRDefault="00CE7BB0" w:rsidP="00CE7BB0">
      <w:r w:rsidRPr="00DF69DD">
        <w:t>Stopped delay for each year within 2018–2039 and from 2041–205</w:t>
      </w:r>
      <w:r>
        <w:t>5</w:t>
      </w:r>
      <w:r w:rsidRPr="00DF69DD">
        <w:t xml:space="preserve"> was estimated using straight line interpolation. The annual stop-delay for the Baseline and Preferred Scenarios has been calculated using the annualization factor summarized in the </w:t>
      </w:r>
      <w:r w:rsidRPr="00427DCA">
        <w:rPr>
          <w:i/>
          <w:iCs/>
        </w:rPr>
        <w:fldChar w:fldCharType="begin"/>
      </w:r>
      <w:r w:rsidRPr="00427DCA">
        <w:rPr>
          <w:i/>
          <w:iCs/>
        </w:rPr>
        <w:instrText xml:space="preserve"> REF _Ref88139760 \h  \* MERGEFORMAT </w:instrText>
      </w:r>
      <w:r w:rsidRPr="00427DCA">
        <w:rPr>
          <w:i/>
          <w:iCs/>
        </w:rPr>
      </w:r>
      <w:r w:rsidRPr="00427DCA">
        <w:rPr>
          <w:i/>
          <w:iCs/>
        </w:rPr>
        <w:fldChar w:fldCharType="separate"/>
      </w:r>
      <w:r w:rsidRPr="00404766">
        <w:rPr>
          <w:i/>
          <w:iCs/>
        </w:rPr>
        <w:t>Annualization Factor</w:t>
      </w:r>
      <w:r w:rsidRPr="00427DCA">
        <w:rPr>
          <w:i/>
          <w:iCs/>
        </w:rPr>
        <w:fldChar w:fldCharType="end"/>
      </w:r>
      <w:r>
        <w:t xml:space="preserve"> section.</w:t>
      </w:r>
    </w:p>
    <w:p w14:paraId="6EA67E19" w14:textId="77777777" w:rsidR="004C49FF" w:rsidRPr="00DF69DD" w:rsidRDefault="004C49FF" w:rsidP="00CE7BB0"/>
    <w:p w14:paraId="4D3F2D59" w14:textId="77777777" w:rsidR="00CE7BB0" w:rsidRPr="00DF69DD" w:rsidRDefault="00CE7BB0" w:rsidP="00CE7BB0">
      <w:pPr>
        <w:pStyle w:val="Heading3"/>
      </w:pPr>
      <w:r w:rsidRPr="00DF69DD">
        <w:lastRenderedPageBreak/>
        <w:t>Truck Percentage</w:t>
      </w:r>
    </w:p>
    <w:p w14:paraId="1190E974" w14:textId="77777777" w:rsidR="001B5C9A" w:rsidRDefault="001B5C9A" w:rsidP="001B5C9A">
      <w:r w:rsidRPr="00DF69DD">
        <w:t xml:space="preserve">Truck and passenger vehicle delay were differentiated using vehicle classification traffic counts recorded on October </w:t>
      </w:r>
      <w:r>
        <w:t>30, 2018</w:t>
      </w:r>
      <w:r w:rsidRPr="00DF69DD">
        <w:t xml:space="preserve"> (on US 85 north of 120</w:t>
      </w:r>
      <w:r w:rsidRPr="00DF69DD">
        <w:rPr>
          <w:vertAlign w:val="superscript"/>
        </w:rPr>
        <w:t>th</w:t>
      </w:r>
      <w:r w:rsidRPr="00DF69DD">
        <w:t xml:space="preserve"> Avenue and south of 124</w:t>
      </w:r>
      <w:r w:rsidRPr="00DF69DD">
        <w:rPr>
          <w:vertAlign w:val="superscript"/>
        </w:rPr>
        <w:t>th</w:t>
      </w:r>
      <w:r w:rsidRPr="00DF69DD">
        <w:t xml:space="preserve"> Avenue) that indicated that heavy trucks comprise approximately </w:t>
      </w:r>
      <w:r>
        <w:t>7.4</w:t>
      </w:r>
      <w:r w:rsidRPr="00DF69DD">
        <w:t xml:space="preserve"> percent of the total traffic flow in the vicinity of the 120th Avenue and 124th Avenue intersections with US 85. </w:t>
      </w:r>
    </w:p>
    <w:p w14:paraId="7F58CDB8" w14:textId="77777777" w:rsidR="001B5C9A" w:rsidRPr="00C6551E" w:rsidRDefault="001B5C9A" w:rsidP="001B5C9A">
      <w:r>
        <w:t>Available CDOT functional classification and traffic count data on 120</w:t>
      </w:r>
      <w:r w:rsidRPr="00C6551E">
        <w:rPr>
          <w:vertAlign w:val="superscript"/>
        </w:rPr>
        <w:t>th</w:t>
      </w:r>
      <w:r>
        <w:t xml:space="preserve"> and 124</w:t>
      </w:r>
      <w:r w:rsidRPr="00C6551E">
        <w:rPr>
          <w:vertAlign w:val="superscript"/>
        </w:rPr>
        <w:t>th</w:t>
      </w:r>
      <w:r>
        <w:t xml:space="preserve"> Avenues from 2016 </w:t>
      </w:r>
      <w:r w:rsidRPr="00C6551E">
        <w:t xml:space="preserve">was used to determine the truck percentage </w:t>
      </w:r>
      <w:r>
        <w:t>at railroad</w:t>
      </w:r>
      <w:r w:rsidRPr="00C6551E">
        <w:t xml:space="preserve"> crossing</w:t>
      </w:r>
      <w:r>
        <w:t>s</w:t>
      </w:r>
      <w:r w:rsidRPr="00C6551E">
        <w:t>.</w:t>
      </w:r>
    </w:p>
    <w:p w14:paraId="0CD91018" w14:textId="77777777" w:rsidR="001B5C9A" w:rsidRPr="00C6551E" w:rsidRDefault="001B5C9A" w:rsidP="001B5C9A">
      <w:r w:rsidRPr="00C6551E">
        <w:t>Truck traffic and passenger vehicle traffic has been estimated from total traffic using the 14.1 percent truck traffic factor for US 85, 2.</w:t>
      </w:r>
      <w:r>
        <w:t>7</w:t>
      </w:r>
      <w:r w:rsidRPr="00C6551E">
        <w:t xml:space="preserve"> percent for 120</w:t>
      </w:r>
      <w:r w:rsidRPr="00C6551E">
        <w:rPr>
          <w:vertAlign w:val="superscript"/>
        </w:rPr>
        <w:t>th</w:t>
      </w:r>
      <w:r w:rsidRPr="00C6551E">
        <w:t xml:space="preserve"> Avenue and </w:t>
      </w:r>
      <w:r>
        <w:t xml:space="preserve">4.0 </w:t>
      </w:r>
      <w:r w:rsidRPr="00C6551E">
        <w:t>percent for 124</w:t>
      </w:r>
      <w:r w:rsidRPr="00C6551E">
        <w:rPr>
          <w:vertAlign w:val="superscript"/>
        </w:rPr>
        <w:t>th</w:t>
      </w:r>
      <w:r w:rsidRPr="00C6551E">
        <w:t xml:space="preserve"> Avenue.</w:t>
      </w:r>
    </w:p>
    <w:p w14:paraId="1B6CB35C" w14:textId="77777777" w:rsidR="006E654E" w:rsidRPr="00C6551E" w:rsidRDefault="006E654E" w:rsidP="006E654E">
      <w:pPr>
        <w:pStyle w:val="Heading3"/>
      </w:pPr>
      <w:r w:rsidRPr="00C6551E">
        <w:t>Travel Time Savings</w:t>
      </w:r>
    </w:p>
    <w:p w14:paraId="342996A1" w14:textId="77777777" w:rsidR="006E654E" w:rsidRPr="00C6551E" w:rsidRDefault="006E654E" w:rsidP="006E654E">
      <w:r w:rsidRPr="00C6551E">
        <w:t xml:space="preserve">The </w:t>
      </w:r>
      <w:r w:rsidRPr="00583A45">
        <w:t xml:space="preserve">US 85/120th Avenue Grade-Separation and Interchange </w:t>
      </w:r>
      <w:r w:rsidRPr="00E6466A">
        <w:t>Project</w:t>
      </w:r>
      <w:r>
        <w:t xml:space="preserve"> </w:t>
      </w:r>
      <w:r w:rsidRPr="00C6551E">
        <w:t xml:space="preserve">is projected to result in travel time savings along the </w:t>
      </w:r>
      <w:r>
        <w:t>US 85 and 120</w:t>
      </w:r>
      <w:r w:rsidRPr="00F976C5">
        <w:rPr>
          <w:vertAlign w:val="superscript"/>
        </w:rPr>
        <w:t>th</w:t>
      </w:r>
      <w:r>
        <w:t xml:space="preserve"> Avenue </w:t>
      </w:r>
      <w:r w:rsidRPr="00C6551E">
        <w:t>corridor</w:t>
      </w:r>
      <w:r>
        <w:t>s</w:t>
      </w:r>
      <w:r w:rsidRPr="00C6551E">
        <w:t xml:space="preserve"> from increased travel speeds; this benefit has been captured in this BCA through the delay savings resulting from the removal of at-grade intersections with US 85 at 120</w:t>
      </w:r>
      <w:r w:rsidRPr="00C6551E">
        <w:rPr>
          <w:vertAlign w:val="superscript"/>
        </w:rPr>
        <w:t>th</w:t>
      </w:r>
      <w:r w:rsidRPr="00C6551E">
        <w:t xml:space="preserve"> Avenue and 124</w:t>
      </w:r>
      <w:r w:rsidRPr="00C6551E">
        <w:rPr>
          <w:vertAlign w:val="superscript"/>
        </w:rPr>
        <w:t>th</w:t>
      </w:r>
      <w:r w:rsidRPr="00C6551E">
        <w:t xml:space="preserve"> Avenue</w:t>
      </w:r>
      <w:r>
        <w:t xml:space="preserve"> and two at-grade rail crossings</w:t>
      </w:r>
      <w:r w:rsidRPr="00C6551E">
        <w:t>.</w:t>
      </w:r>
    </w:p>
    <w:p w14:paraId="3A847FE5" w14:textId="37208142" w:rsidR="006E654E" w:rsidRPr="00C6551E" w:rsidRDefault="006E654E" w:rsidP="006E654E">
      <w:r w:rsidRPr="00C6551E">
        <w:t>At the time of this analysis, there was no local information available to inform the distribution of local travel by service modes.</w:t>
      </w:r>
    </w:p>
    <w:p w14:paraId="082B5321" w14:textId="18AF120F" w:rsidR="006E654E" w:rsidRPr="008D6836" w:rsidRDefault="006E654E" w:rsidP="006E654E">
      <w:r w:rsidRPr="00C6551E">
        <w:t>Average vehicle occupancy allows for the estimation of total travel time savings in person-hours. P</w:t>
      </w:r>
      <w:r w:rsidRPr="00C6551E">
        <w:rPr>
          <w:iCs/>
        </w:rPr>
        <w:t>assenger vehicle delay has been converted to person-hour delay using the average vehicle occupancy of 1.</w:t>
      </w:r>
      <w:r w:rsidR="00F5208A">
        <w:rPr>
          <w:iCs/>
        </w:rPr>
        <w:t>52</w:t>
      </w:r>
      <w:r w:rsidRPr="00C6551E">
        <w:rPr>
          <w:iCs/>
        </w:rPr>
        <w:t xml:space="preserve"> for passenger vehicles (all travel) found in Table A-</w:t>
      </w:r>
      <w:r w:rsidR="00987B34">
        <w:rPr>
          <w:iCs/>
        </w:rPr>
        <w:t>3</w:t>
      </w:r>
      <w:r w:rsidRPr="00C6551E">
        <w:rPr>
          <w:iCs/>
        </w:rPr>
        <w:t xml:space="preserve"> of the </w:t>
      </w:r>
      <w:r w:rsidRPr="00C6551E">
        <w:t xml:space="preserve">USDOT’s </w:t>
      </w:r>
      <w:r w:rsidRPr="00C6551E">
        <w:rPr>
          <w:i/>
        </w:rPr>
        <w:t>Benefit-Cost Analysis Guidance for Discretionary Grant Programs</w:t>
      </w:r>
      <w:r w:rsidRPr="00C6551E">
        <w:rPr>
          <w:iCs/>
        </w:rPr>
        <w:t xml:space="preserve">. </w:t>
      </w:r>
      <w:r w:rsidRPr="00C6551E">
        <w:t xml:space="preserve">Travel time savings for passenger vehicles have been calculated by multiplying the total annual passenger vehicle volumes by annual stopped delay for both the Baseline and Preferred Scenarios. The reduction in stopped delay has been calculated by subtracting the Preferred </w:t>
      </w:r>
      <w:r w:rsidRPr="008D6836">
        <w:t xml:space="preserve">Scenario delay from the Baseline Scenario delay. </w:t>
      </w:r>
    </w:p>
    <w:p w14:paraId="0120D1CA" w14:textId="77777777" w:rsidR="006E654E" w:rsidRDefault="006E654E" w:rsidP="006E654E">
      <w:r w:rsidRPr="008D6836">
        <w:t>Similarly, truck travel time savings have been calculated by multiplying the total annual truck volumes by the corresponding scenario annual stopped delay and quantifying the difference between the Baseline and Preferred Scenarios.</w:t>
      </w:r>
    </w:p>
    <w:p w14:paraId="70A60C0B" w14:textId="49ED8A7C" w:rsidR="00B43E4B" w:rsidRDefault="00B43E4B" w:rsidP="00B43E4B">
      <w:r w:rsidRPr="00C15543">
        <w:t xml:space="preserve">Travel time savings have been converted from hours to dollars using the USDOT’s </w:t>
      </w:r>
      <w:r w:rsidRPr="00C15543">
        <w:rPr>
          <w:i/>
        </w:rPr>
        <w:t>Revised Departmental Guidance on Valuation of Travel Time in Economic Analysis</w:t>
      </w:r>
      <w:r w:rsidRPr="00C15543">
        <w:t>. Passenger vehicle travel has been monetized using the 20</w:t>
      </w:r>
      <w:r>
        <w:t>2</w:t>
      </w:r>
      <w:r w:rsidR="00D3409C">
        <w:t>4</w:t>
      </w:r>
      <w:r w:rsidRPr="00C15543">
        <w:t>$ per person-hour value of $</w:t>
      </w:r>
      <w:r w:rsidR="00EB74BE">
        <w:t>21.80</w:t>
      </w:r>
      <w:r w:rsidRPr="00C15543">
        <w:t xml:space="preserve"> (cited in the </w:t>
      </w:r>
      <w:r>
        <w:t>202</w:t>
      </w:r>
      <w:r w:rsidR="00D3409C">
        <w:t>5</w:t>
      </w:r>
      <w:r>
        <w:t xml:space="preserve"> BCA</w:t>
      </w:r>
      <w:r w:rsidRPr="00C15543">
        <w:t xml:space="preserve"> </w:t>
      </w:r>
      <w:r>
        <w:t>Gu</w:t>
      </w:r>
      <w:r w:rsidRPr="00C15543">
        <w:t>idance) for all-purpose travel. Truck travel time savings have been monetized using the recommended hourly value of travel time savings for commercial truck operators of $</w:t>
      </w:r>
      <w:r w:rsidR="00EB74BE">
        <w:t>37.20</w:t>
      </w:r>
      <w:r w:rsidRPr="00C15543">
        <w:t xml:space="preserve"> per person-hour</w:t>
      </w:r>
      <w:r>
        <w:t xml:space="preserve"> </w:t>
      </w:r>
      <w:r w:rsidRPr="00C15543">
        <w:t xml:space="preserve">(cited in the </w:t>
      </w:r>
      <w:r>
        <w:t>202</w:t>
      </w:r>
      <w:r w:rsidR="00EB74BE">
        <w:t>5</w:t>
      </w:r>
      <w:r>
        <w:t xml:space="preserve"> BCA G</w:t>
      </w:r>
      <w:r w:rsidRPr="00C15543">
        <w:t>uidance).</w:t>
      </w:r>
    </w:p>
    <w:p w14:paraId="5E258F17" w14:textId="22B68524" w:rsidR="002012C6" w:rsidRDefault="002864B0" w:rsidP="002012C6">
      <w:pPr>
        <w:pStyle w:val="Heading3"/>
      </w:pPr>
      <w:r>
        <w:t>Train Operating and Social Costs</w:t>
      </w:r>
    </w:p>
    <w:p w14:paraId="61EF4915" w14:textId="77777777" w:rsidR="002012C6" w:rsidRDefault="002012C6" w:rsidP="002012C6">
      <w:pPr>
        <w:pStyle w:val="BodyText"/>
      </w:pPr>
      <w:r>
        <w:t xml:space="preserve">The Union Pacific Railroad (UPRR) operates a single-rail rail line along the US 85 corridor to facilitate local and regional freight movement. Discussions with the UPRR indicate that in 2019, the rail line served 11.2 trains per day on average and that the at-grade crossings along the US 85 corridors necessitate slower average speeds (20.5 MPH) to ensure all crossings are clear and safely navigable. </w:t>
      </w:r>
    </w:p>
    <w:p w14:paraId="33D3A1C4" w14:textId="77777777" w:rsidR="002012C6" w:rsidRDefault="002012C6" w:rsidP="002012C6">
      <w:pPr>
        <w:pStyle w:val="BodyText"/>
      </w:pPr>
      <w:r>
        <w:t xml:space="preserve">The </w:t>
      </w:r>
      <w:proofErr w:type="spellStart"/>
      <w:r>
        <w:t>Agfinity</w:t>
      </w:r>
      <w:proofErr w:type="spellEnd"/>
      <w:r>
        <w:t xml:space="preserve"> – Agronomy coop is located between US 85 and the UP rail. Vehicular access to the coop will be maintained via the partial closure of the 124</w:t>
      </w:r>
      <w:r w:rsidRPr="00910A1B">
        <w:rPr>
          <w:vertAlign w:val="superscript"/>
        </w:rPr>
        <w:t>th</w:t>
      </w:r>
      <w:r>
        <w:t xml:space="preserve"> Avenue crossing. The Agronomy coop is a customer on the UP-rail line and receives local service from Greeley Yard on a daily weekday basis – the service requires switching 40-50 rail cars. According to discussions with the UPRR, the daily switching process takes 35-45 minutes (with the regular crew) and can result in blocking the 124</w:t>
      </w:r>
      <w:r w:rsidRPr="000B797E">
        <w:rPr>
          <w:vertAlign w:val="superscript"/>
        </w:rPr>
        <w:t>th</w:t>
      </w:r>
      <w:r>
        <w:t xml:space="preserve"> Avenue at-grade crossing for as much as 75 minutes when substitute crews are in place. This BCA assumed the crossing blockage associated with the local switching service for the Agronomy coop averages 45 minutes per day. </w:t>
      </w:r>
    </w:p>
    <w:p w14:paraId="58F1AEB3" w14:textId="77777777" w:rsidR="002012C6" w:rsidRDefault="002012C6" w:rsidP="002012C6">
      <w:pPr>
        <w:pStyle w:val="BodyText"/>
      </w:pPr>
      <w:r>
        <w:lastRenderedPageBreak/>
        <w:t xml:space="preserve">As previously noted, the </w:t>
      </w:r>
      <w:r w:rsidRPr="00583A45">
        <w:t xml:space="preserve">US 85/120th Avenue Grade-Separation and Interchange </w:t>
      </w:r>
      <w:r w:rsidRPr="00E6466A">
        <w:t>Project</w:t>
      </w:r>
      <w:r>
        <w:t xml:space="preserve"> provides vehicle-rail grade separation at 120</w:t>
      </w:r>
      <w:r w:rsidRPr="00910A1B">
        <w:rPr>
          <w:vertAlign w:val="superscript"/>
        </w:rPr>
        <w:t>th</w:t>
      </w:r>
      <w:r>
        <w:t xml:space="preserve"> Avenue and a partial closure at 124</w:t>
      </w:r>
      <w:r w:rsidRPr="00910A1B">
        <w:rPr>
          <w:vertAlign w:val="superscript"/>
        </w:rPr>
        <w:t>th</w:t>
      </w:r>
      <w:r>
        <w:t xml:space="preserve"> Avenue. The partial closure benefits the Agronomy coop by maintaining access as well as providing a better environment for switching activities. The UPRR estimated that switching activities save up to 10 minutes due to elimination of the requirement of train crew to guard the crossing. </w:t>
      </w:r>
    </w:p>
    <w:p w14:paraId="4AC7E257" w14:textId="24E5E227" w:rsidR="002012C6" w:rsidRDefault="002012C6" w:rsidP="002012C6">
      <w:pPr>
        <w:pStyle w:val="BodyText"/>
      </w:pPr>
      <w:r>
        <w:t>The UPRR indicated that grade separation of the 120</w:t>
      </w:r>
      <w:r w:rsidRPr="0010514B">
        <w:rPr>
          <w:vertAlign w:val="superscript"/>
        </w:rPr>
        <w:t>th</w:t>
      </w:r>
      <w:r>
        <w:t xml:space="preserve"> Avenue crossing will allow trains to travel at higher speeds (up to 60 MPH) through the corridor. The single-track nature of the rail line is further constrained by the available sidings along the corridor; the sidings can accommodate trains up to 8,500 feet in length. In 2019, nearly 20 percent of the trains traveling the corridor exceeded the available siding length and therefore required priority travel. Higher travel speeds would allow all trains, but particularly these non-fitter trains to </w:t>
      </w:r>
      <w:r w:rsidR="00907ACA">
        <w:t>travel the corridor more efficiently</w:t>
      </w:r>
      <w:r>
        <w:t>. The average train length in 2019 was 8,000 feet. The average blockage per train has been calculated as a function of the average train length and average speed. The vehicular delay associated with the train crossing have been calculated as a function of the percent of day that the gates are down and assumed a 50 percent random arrival of vehicles.</w:t>
      </w:r>
    </w:p>
    <w:p w14:paraId="71431139" w14:textId="77777777" w:rsidR="002012C6" w:rsidRDefault="002012C6" w:rsidP="002012C6">
      <w:pPr>
        <w:pStyle w:val="BodyText"/>
      </w:pPr>
      <w:r>
        <w:t>Non-local trains crossing the 124</w:t>
      </w:r>
      <w:r w:rsidRPr="00FC6D8D">
        <w:rPr>
          <w:vertAlign w:val="superscript"/>
        </w:rPr>
        <w:t>th</w:t>
      </w:r>
      <w:r>
        <w:t xml:space="preserve"> Avenue crossing have been assumed to be required to travel slower speeds (20.5 MPH) through the partially closed 124</w:t>
      </w:r>
      <w:r w:rsidRPr="00FC6D8D">
        <w:rPr>
          <w:vertAlign w:val="superscript"/>
        </w:rPr>
        <w:t>th</w:t>
      </w:r>
      <w:r>
        <w:t xml:space="preserve"> Avenue crossing but with reduced conflicting vehicle traffic due to the closer of the US 85/124</w:t>
      </w:r>
      <w:r w:rsidRPr="00FC6D8D">
        <w:rPr>
          <w:vertAlign w:val="superscript"/>
        </w:rPr>
        <w:t>th</w:t>
      </w:r>
      <w:r>
        <w:t xml:space="preserve"> Avenue intersection.</w:t>
      </w:r>
    </w:p>
    <w:p w14:paraId="34F8ADF2" w14:textId="77777777" w:rsidR="002012C6" w:rsidRDefault="002012C6" w:rsidP="002012C6">
      <w:pPr>
        <w:pStyle w:val="BodyText"/>
      </w:pPr>
      <w:r>
        <w:t>The BCA does not assume any change in the demand served by the UPRR. The UPRR indicated that the line is currently operating near capacity and additional improvements would be required to increase the number of trains traveling through the project area.</w:t>
      </w:r>
    </w:p>
    <w:p w14:paraId="453E7835" w14:textId="2A64CA21" w:rsidR="008024F8" w:rsidRPr="00854F47" w:rsidRDefault="00854F47" w:rsidP="008024F8">
      <w:r>
        <w:t xml:space="preserve">Idling reduction benefits have been monetized based on the </w:t>
      </w:r>
      <w:r w:rsidR="00907ACA">
        <w:t>monetized values for a freight train in Table A-5 o</w:t>
      </w:r>
      <w:r w:rsidR="00907ACA" w:rsidRPr="00C6551E">
        <w:rPr>
          <w:iCs/>
        </w:rPr>
        <w:t xml:space="preserve">f the </w:t>
      </w:r>
      <w:r w:rsidR="00907ACA" w:rsidRPr="00C6551E">
        <w:t xml:space="preserve">USDOT’s </w:t>
      </w:r>
      <w:r w:rsidR="00907ACA" w:rsidRPr="00C6551E">
        <w:rPr>
          <w:i/>
        </w:rPr>
        <w:t>Benefit-Cost Analysis Guidance for Discretionary Grant Programs</w:t>
      </w:r>
      <w:r w:rsidR="00907ACA" w:rsidRPr="00C6551E">
        <w:rPr>
          <w:iCs/>
        </w:rPr>
        <w:t>.</w:t>
      </w:r>
    </w:p>
    <w:p w14:paraId="5F502AC8" w14:textId="77777777" w:rsidR="0094471C" w:rsidRPr="00C15543" w:rsidRDefault="0094471C" w:rsidP="0094471C">
      <w:pPr>
        <w:pStyle w:val="Heading3"/>
      </w:pPr>
      <w:r w:rsidRPr="00C15543">
        <w:t>Reliability</w:t>
      </w:r>
    </w:p>
    <w:p w14:paraId="2186195E" w14:textId="239579CF" w:rsidR="0094471C" w:rsidRPr="00C15543" w:rsidRDefault="0094471C" w:rsidP="0094471C">
      <w:r w:rsidRPr="00C15543">
        <w:t xml:space="preserve">As noted in the </w:t>
      </w:r>
      <w:r>
        <w:t>202</w:t>
      </w:r>
      <w:r w:rsidR="00151961">
        <w:t>5</w:t>
      </w:r>
      <w:r>
        <w:t xml:space="preserve"> BCA</w:t>
      </w:r>
      <w:r w:rsidRPr="00C15543">
        <w:t xml:space="preserve"> Guidance, reliability refers to the predictability and dependability of travel times on transportation </w:t>
      </w:r>
      <w:r>
        <w:t>infra</w:t>
      </w:r>
      <w:r w:rsidRPr="00C15543">
        <w:t xml:space="preserve">structure. While reliability benefits would be those benefits beyond reductions in travel time benefits, this analysis has assumed that the travel time savings and reliability are highly correlated. To avoid potential double counting of benefits, the analysis did not include a separate evaluation of reliability benefits associated with the </w:t>
      </w:r>
      <w:r w:rsidRPr="009165F2">
        <w:t>US 85/120th Avenue Grade-Separation and Interchange</w:t>
      </w:r>
      <w:r>
        <w:t xml:space="preserve"> </w:t>
      </w:r>
      <w:r w:rsidRPr="00C15543">
        <w:t>Project.</w:t>
      </w:r>
    </w:p>
    <w:p w14:paraId="055E7A59" w14:textId="77777777" w:rsidR="00B23777" w:rsidRPr="00C76EA9" w:rsidRDefault="00B23777" w:rsidP="00B23777">
      <w:pPr>
        <w:pStyle w:val="Heading2"/>
      </w:pPr>
      <w:r w:rsidRPr="00C76EA9">
        <w:t>Vehicle Operating Cost Savings</w:t>
      </w:r>
    </w:p>
    <w:p w14:paraId="1488518C" w14:textId="77777777" w:rsidR="00B23777" w:rsidRPr="00C76EA9" w:rsidRDefault="00B23777" w:rsidP="00B23777">
      <w:r w:rsidRPr="00C76EA9">
        <w:t xml:space="preserve">Vehicle operating costs are typically calculated as a function </w:t>
      </w:r>
      <w:r>
        <w:t xml:space="preserve">of </w:t>
      </w:r>
      <w:r w:rsidRPr="00C76EA9">
        <w:t>costs that vary with vehicle miles traveled. Because the US 85/120th Avenue Grade-Separation and Interchange Project is not projected to result in a substantial change to vehicle miles traveled; the analysis does not include an evaluation of vehicular operating costs.</w:t>
      </w:r>
    </w:p>
    <w:p w14:paraId="4CAD1797" w14:textId="77777777" w:rsidR="00B23777" w:rsidRPr="00C76EA9" w:rsidRDefault="00B23777" w:rsidP="00B23777">
      <w:pPr>
        <w:pStyle w:val="Heading2"/>
      </w:pPr>
      <w:r w:rsidRPr="00C76EA9">
        <w:t>Safety Benefits</w:t>
      </w:r>
    </w:p>
    <w:p w14:paraId="276ECA62" w14:textId="749E6166" w:rsidR="00B23777" w:rsidRPr="006530A3" w:rsidRDefault="00B23777" w:rsidP="00B23777">
      <w:r w:rsidRPr="00C76EA9">
        <w:t xml:space="preserve">The Preferred Scenario is projected to result in a reduction in the number of crashes, </w:t>
      </w:r>
      <w:r w:rsidR="00001382" w:rsidRPr="00C76EA9">
        <w:t>injuries,</w:t>
      </w:r>
      <w:r w:rsidRPr="00C76EA9">
        <w:t xml:space="preserve"> and fatalities within the US 85/120th Avenue Grade-Separation and Interchange Project area due to the reduction in overall vehicle interactions at project area intersections and at-grade rail crossings.</w:t>
      </w:r>
    </w:p>
    <w:p w14:paraId="5EBACF5F" w14:textId="77777777" w:rsidR="008A7CFD" w:rsidRDefault="008A7CFD" w:rsidP="008A7CFD">
      <w:pPr>
        <w:pStyle w:val="Heading3"/>
      </w:pPr>
      <w:bookmarkStart w:id="7" w:name="OLE_LINK1"/>
      <w:bookmarkStart w:id="8" w:name="OLE_LINK2"/>
      <w:r w:rsidRPr="001C7ABD">
        <w:t>Vehicular Safety Benefits</w:t>
      </w:r>
      <w:bookmarkEnd w:id="7"/>
      <w:bookmarkEnd w:id="8"/>
    </w:p>
    <w:p w14:paraId="3FB2521E" w14:textId="1F805B64" w:rsidR="008A7CFD" w:rsidRPr="006530A3" w:rsidRDefault="008A7CFD" w:rsidP="008A7CFD">
      <w:r w:rsidRPr="006530A3">
        <w:t xml:space="preserve">The most recent available historic five-year crash data from </w:t>
      </w:r>
      <w:r w:rsidR="00151961">
        <w:t xml:space="preserve">July </w:t>
      </w:r>
      <w:r w:rsidR="00FC463E">
        <w:t>1, 2022</w:t>
      </w:r>
      <w:r w:rsidRPr="0066469F">
        <w:t xml:space="preserve">, through </w:t>
      </w:r>
      <w:r w:rsidR="00FC463E">
        <w:t>June 30, 2025</w:t>
      </w:r>
      <w:r w:rsidRPr="0066469F">
        <w:t>, was</w:t>
      </w:r>
      <w:r w:rsidRPr="006530A3">
        <w:t xml:space="preserve"> sourced from CDOT’s </w:t>
      </w:r>
      <w:proofErr w:type="spellStart"/>
      <w:r w:rsidRPr="006530A3">
        <w:t>DiExSys</w:t>
      </w:r>
      <w:proofErr w:type="spellEnd"/>
      <w:r w:rsidRPr="006530A3">
        <w:t xml:space="preserve"> Roadway Safety Systems. The system was queried for intersection related crashes and the dataset included number of fatal, injury and property damage only (PDO) crashes and included the total number of reported injuries and fatalities.</w:t>
      </w:r>
    </w:p>
    <w:p w14:paraId="3705243D" w14:textId="77777777" w:rsidR="008A7CFD" w:rsidRPr="006530A3" w:rsidRDefault="008A7CFD" w:rsidP="008A7CFD">
      <w:r w:rsidRPr="006530A3">
        <w:lastRenderedPageBreak/>
        <w:t xml:space="preserve">The five-year historic crash data was used to calculate per-million entering vehicle intersection crash rates for the </w:t>
      </w:r>
      <w:r w:rsidRPr="009165F2">
        <w:t xml:space="preserve">US 85/120th Avenue </w:t>
      </w:r>
      <w:r w:rsidRPr="0066469F">
        <w:t>Grade-Separation and Interchange Project intersections. The crash rate was then applied annually to the Baseline and Preferred scenarios using a total entering vehicle intersection volume to project the expected number of crashes under each scenario.</w:t>
      </w:r>
      <w:r w:rsidRPr="006530A3">
        <w:t xml:space="preserve"> </w:t>
      </w:r>
    </w:p>
    <w:p w14:paraId="07A94FD3" w14:textId="6678CD5A" w:rsidR="00C04A38" w:rsidRPr="006530A3" w:rsidRDefault="00022D3F" w:rsidP="00022D3F">
      <w:pPr>
        <w:pStyle w:val="Caption"/>
      </w:pPr>
      <w:r>
        <w:t xml:space="preserve">Table </w:t>
      </w:r>
      <w:r>
        <w:fldChar w:fldCharType="begin"/>
      </w:r>
      <w:r>
        <w:instrText xml:space="preserve"> SEQ Table \* ARABIC </w:instrText>
      </w:r>
      <w:r>
        <w:fldChar w:fldCharType="separate"/>
      </w:r>
      <w:r w:rsidR="00896659">
        <w:rPr>
          <w:noProof/>
        </w:rPr>
        <w:t>5</w:t>
      </w:r>
      <w:r>
        <w:fldChar w:fldCharType="end"/>
      </w:r>
      <w:r>
        <w:t xml:space="preserve">. </w:t>
      </w:r>
      <w:r>
        <w:tab/>
      </w:r>
      <w:r w:rsidR="00C04A38" w:rsidRPr="006530A3">
        <w:t>5-year Crash History</w:t>
      </w:r>
    </w:p>
    <w:tbl>
      <w:tblPr>
        <w:tblStyle w:val="TableGrid"/>
        <w:tblW w:w="5000" w:type="pct"/>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ook w:val="04A0" w:firstRow="1" w:lastRow="0" w:firstColumn="1" w:lastColumn="0" w:noHBand="0" w:noVBand="1"/>
      </w:tblPr>
      <w:tblGrid>
        <w:gridCol w:w="3171"/>
        <w:gridCol w:w="1071"/>
        <w:gridCol w:w="1192"/>
        <w:gridCol w:w="1071"/>
        <w:gridCol w:w="1009"/>
        <w:gridCol w:w="1071"/>
        <w:gridCol w:w="1063"/>
      </w:tblGrid>
      <w:tr w:rsidR="00C04A38" w:rsidRPr="006530A3" w14:paraId="601740E6" w14:textId="77777777" w:rsidTr="00352104">
        <w:tc>
          <w:tcPr>
            <w:tcW w:w="1643" w:type="pct"/>
            <w:shd w:val="clear" w:color="auto" w:fill="D29F13" w:themeFill="accent4"/>
            <w:vAlign w:val="center"/>
          </w:tcPr>
          <w:p w14:paraId="0568079B" w14:textId="77777777" w:rsidR="00C04A38" w:rsidRPr="006530A3" w:rsidRDefault="00C04A38" w:rsidP="00352104">
            <w:pPr>
              <w:pStyle w:val="TableHeading"/>
            </w:pPr>
            <w:r w:rsidRPr="006530A3">
              <w:t>Location</w:t>
            </w:r>
          </w:p>
        </w:tc>
        <w:tc>
          <w:tcPr>
            <w:tcW w:w="555" w:type="pct"/>
            <w:shd w:val="clear" w:color="auto" w:fill="D29F13" w:themeFill="accent4"/>
            <w:vAlign w:val="center"/>
          </w:tcPr>
          <w:p w14:paraId="02F87065" w14:textId="77777777" w:rsidR="00C04A38" w:rsidRPr="006530A3" w:rsidRDefault="00C04A38" w:rsidP="00352104">
            <w:pPr>
              <w:pStyle w:val="TableHeading"/>
            </w:pPr>
            <w:r w:rsidRPr="006530A3">
              <w:t>Fatal Crashes</w:t>
            </w:r>
          </w:p>
        </w:tc>
        <w:tc>
          <w:tcPr>
            <w:tcW w:w="618" w:type="pct"/>
            <w:shd w:val="clear" w:color="auto" w:fill="D29F13" w:themeFill="accent4"/>
            <w:vAlign w:val="center"/>
          </w:tcPr>
          <w:p w14:paraId="0FFC972E" w14:textId="77777777" w:rsidR="00C04A38" w:rsidRPr="006530A3" w:rsidRDefault="00C04A38" w:rsidP="00352104">
            <w:pPr>
              <w:pStyle w:val="TableHeading"/>
            </w:pPr>
            <w:r w:rsidRPr="006530A3">
              <w:t>Fatalities</w:t>
            </w:r>
          </w:p>
        </w:tc>
        <w:tc>
          <w:tcPr>
            <w:tcW w:w="555" w:type="pct"/>
            <w:shd w:val="clear" w:color="auto" w:fill="D29F13" w:themeFill="accent4"/>
            <w:vAlign w:val="center"/>
          </w:tcPr>
          <w:p w14:paraId="684073F0" w14:textId="77777777" w:rsidR="00C04A38" w:rsidRPr="006530A3" w:rsidRDefault="00C04A38" w:rsidP="00352104">
            <w:pPr>
              <w:pStyle w:val="TableHeading"/>
            </w:pPr>
            <w:r w:rsidRPr="006530A3">
              <w:t>Injury Crashes</w:t>
            </w:r>
          </w:p>
        </w:tc>
        <w:tc>
          <w:tcPr>
            <w:tcW w:w="523" w:type="pct"/>
            <w:shd w:val="clear" w:color="auto" w:fill="D29F13" w:themeFill="accent4"/>
            <w:vAlign w:val="center"/>
          </w:tcPr>
          <w:p w14:paraId="0BAC9FD3" w14:textId="77777777" w:rsidR="00C04A38" w:rsidRPr="006530A3" w:rsidRDefault="00C04A38" w:rsidP="00352104">
            <w:pPr>
              <w:pStyle w:val="TableHeading"/>
            </w:pPr>
            <w:r w:rsidRPr="006530A3">
              <w:t>Injuries</w:t>
            </w:r>
          </w:p>
        </w:tc>
        <w:tc>
          <w:tcPr>
            <w:tcW w:w="555" w:type="pct"/>
            <w:shd w:val="clear" w:color="auto" w:fill="D29F13" w:themeFill="accent4"/>
          </w:tcPr>
          <w:p w14:paraId="787C08C3" w14:textId="77777777" w:rsidR="00C04A38" w:rsidRPr="006530A3" w:rsidRDefault="00C04A38" w:rsidP="00352104">
            <w:pPr>
              <w:pStyle w:val="TableHeading"/>
            </w:pPr>
            <w:r w:rsidRPr="006530A3">
              <w:t>PDO Crashes</w:t>
            </w:r>
          </w:p>
        </w:tc>
        <w:tc>
          <w:tcPr>
            <w:tcW w:w="552" w:type="pct"/>
            <w:shd w:val="clear" w:color="auto" w:fill="D29F13" w:themeFill="accent4"/>
            <w:vAlign w:val="center"/>
          </w:tcPr>
          <w:p w14:paraId="49691A00" w14:textId="77777777" w:rsidR="00C04A38" w:rsidRPr="006530A3" w:rsidRDefault="00C04A38" w:rsidP="00352104">
            <w:pPr>
              <w:pStyle w:val="TableHeading"/>
            </w:pPr>
            <w:r w:rsidRPr="006530A3">
              <w:t>TOTAL</w:t>
            </w:r>
          </w:p>
        </w:tc>
      </w:tr>
      <w:tr w:rsidR="00C04A38" w:rsidRPr="006530A3" w14:paraId="4ED91310" w14:textId="77777777" w:rsidTr="00352104">
        <w:tc>
          <w:tcPr>
            <w:tcW w:w="1643" w:type="pct"/>
            <w:tcBorders>
              <w:bottom w:val="single" w:sz="4" w:space="0" w:color="425563"/>
            </w:tcBorders>
            <w:vAlign w:val="bottom"/>
          </w:tcPr>
          <w:p w14:paraId="77219BA8" w14:textId="77777777" w:rsidR="00C04A38" w:rsidRPr="006530A3" w:rsidRDefault="00C04A38" w:rsidP="00352104">
            <w:pPr>
              <w:pStyle w:val="TableText"/>
            </w:pPr>
            <w:r>
              <w:t>120</w:t>
            </w:r>
            <w:r w:rsidRPr="0066469F">
              <w:rPr>
                <w:vertAlign w:val="superscript"/>
              </w:rPr>
              <w:t>th</w:t>
            </w:r>
            <w:r>
              <w:t xml:space="preserve"> Avenue/US 85</w:t>
            </w:r>
          </w:p>
        </w:tc>
        <w:tc>
          <w:tcPr>
            <w:tcW w:w="555" w:type="pct"/>
            <w:tcBorders>
              <w:bottom w:val="single" w:sz="4" w:space="0" w:color="425563"/>
            </w:tcBorders>
            <w:vAlign w:val="center"/>
          </w:tcPr>
          <w:p w14:paraId="5F5D6FA5" w14:textId="759D85D2" w:rsidR="00C04A38" w:rsidRPr="006530A3" w:rsidRDefault="00FC463E" w:rsidP="00352104">
            <w:pPr>
              <w:pStyle w:val="TableText"/>
              <w:jc w:val="center"/>
            </w:pPr>
            <w:r>
              <w:t>0</w:t>
            </w:r>
          </w:p>
        </w:tc>
        <w:tc>
          <w:tcPr>
            <w:tcW w:w="618" w:type="pct"/>
            <w:tcBorders>
              <w:bottom w:val="single" w:sz="4" w:space="0" w:color="425563"/>
            </w:tcBorders>
            <w:vAlign w:val="center"/>
          </w:tcPr>
          <w:p w14:paraId="1E90F146" w14:textId="73B64FED" w:rsidR="00C04A38" w:rsidRPr="006530A3" w:rsidRDefault="00FC463E" w:rsidP="00352104">
            <w:pPr>
              <w:pStyle w:val="TableText"/>
              <w:jc w:val="center"/>
              <w:rPr>
                <w:color w:val="000000"/>
                <w:szCs w:val="20"/>
              </w:rPr>
            </w:pPr>
            <w:r>
              <w:rPr>
                <w:color w:val="000000"/>
                <w:szCs w:val="20"/>
              </w:rPr>
              <w:t>0</w:t>
            </w:r>
          </w:p>
        </w:tc>
        <w:tc>
          <w:tcPr>
            <w:tcW w:w="555" w:type="pct"/>
            <w:tcBorders>
              <w:bottom w:val="single" w:sz="4" w:space="0" w:color="425563"/>
            </w:tcBorders>
            <w:vAlign w:val="center"/>
          </w:tcPr>
          <w:p w14:paraId="3984C639" w14:textId="0C143E70" w:rsidR="00C04A38" w:rsidRPr="006530A3" w:rsidRDefault="00FC463E" w:rsidP="00352104">
            <w:pPr>
              <w:pStyle w:val="TableText"/>
              <w:jc w:val="center"/>
              <w:rPr>
                <w:color w:val="000000"/>
                <w:szCs w:val="20"/>
              </w:rPr>
            </w:pPr>
            <w:r>
              <w:rPr>
                <w:color w:val="000000"/>
                <w:szCs w:val="20"/>
              </w:rPr>
              <w:t>10</w:t>
            </w:r>
          </w:p>
        </w:tc>
        <w:tc>
          <w:tcPr>
            <w:tcW w:w="523" w:type="pct"/>
            <w:tcBorders>
              <w:bottom w:val="single" w:sz="4" w:space="0" w:color="425563"/>
            </w:tcBorders>
            <w:vAlign w:val="center"/>
          </w:tcPr>
          <w:p w14:paraId="35B55099" w14:textId="009307A4" w:rsidR="00C04A38" w:rsidRPr="006530A3" w:rsidRDefault="00FC463E" w:rsidP="00352104">
            <w:pPr>
              <w:pStyle w:val="TableText"/>
              <w:jc w:val="center"/>
              <w:rPr>
                <w:color w:val="000000"/>
                <w:szCs w:val="20"/>
              </w:rPr>
            </w:pPr>
            <w:r>
              <w:rPr>
                <w:color w:val="000000"/>
                <w:szCs w:val="20"/>
              </w:rPr>
              <w:t>14</w:t>
            </w:r>
          </w:p>
        </w:tc>
        <w:tc>
          <w:tcPr>
            <w:tcW w:w="555" w:type="pct"/>
            <w:tcBorders>
              <w:bottom w:val="single" w:sz="4" w:space="0" w:color="425563"/>
            </w:tcBorders>
          </w:tcPr>
          <w:p w14:paraId="07E1D9E6" w14:textId="47AAD33A" w:rsidR="00C04A38" w:rsidRPr="006530A3" w:rsidRDefault="00FC463E" w:rsidP="00352104">
            <w:pPr>
              <w:pStyle w:val="TableText"/>
              <w:jc w:val="center"/>
              <w:rPr>
                <w:bCs/>
                <w:color w:val="000000"/>
                <w:szCs w:val="20"/>
              </w:rPr>
            </w:pPr>
            <w:r>
              <w:rPr>
                <w:bCs/>
                <w:color w:val="000000"/>
                <w:szCs w:val="20"/>
              </w:rPr>
              <w:t>57</w:t>
            </w:r>
          </w:p>
        </w:tc>
        <w:tc>
          <w:tcPr>
            <w:tcW w:w="552" w:type="pct"/>
            <w:tcBorders>
              <w:bottom w:val="single" w:sz="4" w:space="0" w:color="425563"/>
            </w:tcBorders>
            <w:vAlign w:val="center"/>
          </w:tcPr>
          <w:p w14:paraId="7E70F7A3" w14:textId="13F124D0" w:rsidR="00C04A38" w:rsidRPr="006530A3" w:rsidRDefault="00FC463E" w:rsidP="00352104">
            <w:pPr>
              <w:pStyle w:val="TableText"/>
              <w:jc w:val="center"/>
              <w:rPr>
                <w:b/>
                <w:color w:val="000000"/>
                <w:szCs w:val="20"/>
              </w:rPr>
            </w:pPr>
            <w:r>
              <w:rPr>
                <w:b/>
                <w:color w:val="000000"/>
                <w:szCs w:val="20"/>
              </w:rPr>
              <w:t>67</w:t>
            </w:r>
          </w:p>
        </w:tc>
      </w:tr>
      <w:tr w:rsidR="00C04A38" w:rsidRPr="00E6466A" w14:paraId="486A82FF" w14:textId="77777777" w:rsidTr="00352104">
        <w:tc>
          <w:tcPr>
            <w:tcW w:w="1643" w:type="pct"/>
            <w:tcBorders>
              <w:bottom w:val="single" w:sz="12" w:space="0" w:color="D29F13" w:themeColor="accent4"/>
            </w:tcBorders>
            <w:vAlign w:val="bottom"/>
          </w:tcPr>
          <w:p w14:paraId="78BD278C" w14:textId="77777777" w:rsidR="00C04A38" w:rsidRPr="006530A3" w:rsidRDefault="00C04A38" w:rsidP="00352104">
            <w:pPr>
              <w:pStyle w:val="TableText"/>
            </w:pPr>
            <w:r>
              <w:t>124</w:t>
            </w:r>
            <w:r w:rsidRPr="0066469F">
              <w:rPr>
                <w:vertAlign w:val="superscript"/>
              </w:rPr>
              <w:t>th</w:t>
            </w:r>
            <w:r>
              <w:t xml:space="preserve"> Avenue/US 85</w:t>
            </w:r>
          </w:p>
        </w:tc>
        <w:tc>
          <w:tcPr>
            <w:tcW w:w="555" w:type="pct"/>
            <w:tcBorders>
              <w:bottom w:val="single" w:sz="12" w:space="0" w:color="D29F13" w:themeColor="accent4"/>
            </w:tcBorders>
            <w:vAlign w:val="center"/>
          </w:tcPr>
          <w:p w14:paraId="0BA324CB" w14:textId="0B8B3B15" w:rsidR="00C04A38" w:rsidRPr="006530A3" w:rsidRDefault="00FC463E" w:rsidP="00352104">
            <w:pPr>
              <w:pStyle w:val="TableText"/>
              <w:jc w:val="center"/>
            </w:pPr>
            <w:r>
              <w:t>0</w:t>
            </w:r>
          </w:p>
        </w:tc>
        <w:tc>
          <w:tcPr>
            <w:tcW w:w="618" w:type="pct"/>
            <w:tcBorders>
              <w:bottom w:val="single" w:sz="12" w:space="0" w:color="D29F13" w:themeColor="accent4"/>
            </w:tcBorders>
            <w:vAlign w:val="center"/>
          </w:tcPr>
          <w:p w14:paraId="0CC727D6" w14:textId="283F989F" w:rsidR="00C04A38" w:rsidRPr="006530A3" w:rsidRDefault="00FC463E" w:rsidP="00352104">
            <w:pPr>
              <w:pStyle w:val="TableText"/>
              <w:jc w:val="center"/>
            </w:pPr>
            <w:r>
              <w:t>0</w:t>
            </w:r>
          </w:p>
        </w:tc>
        <w:tc>
          <w:tcPr>
            <w:tcW w:w="555" w:type="pct"/>
            <w:tcBorders>
              <w:bottom w:val="single" w:sz="12" w:space="0" w:color="D29F13" w:themeColor="accent4"/>
            </w:tcBorders>
            <w:vAlign w:val="center"/>
          </w:tcPr>
          <w:p w14:paraId="4F4FF709" w14:textId="762EAA48" w:rsidR="00C04A38" w:rsidRPr="006530A3" w:rsidRDefault="007B11EC" w:rsidP="00352104">
            <w:pPr>
              <w:pStyle w:val="TableText"/>
              <w:jc w:val="center"/>
            </w:pPr>
            <w:r>
              <w:t>5</w:t>
            </w:r>
          </w:p>
        </w:tc>
        <w:tc>
          <w:tcPr>
            <w:tcW w:w="523" w:type="pct"/>
            <w:tcBorders>
              <w:bottom w:val="single" w:sz="12" w:space="0" w:color="D29F13" w:themeColor="accent4"/>
            </w:tcBorders>
            <w:vAlign w:val="center"/>
          </w:tcPr>
          <w:p w14:paraId="49C4FA3F" w14:textId="09B66978" w:rsidR="00C04A38" w:rsidRPr="006530A3" w:rsidRDefault="007B11EC" w:rsidP="00352104">
            <w:pPr>
              <w:pStyle w:val="TableText"/>
              <w:jc w:val="center"/>
            </w:pPr>
            <w:r>
              <w:t>10</w:t>
            </w:r>
          </w:p>
        </w:tc>
        <w:tc>
          <w:tcPr>
            <w:tcW w:w="555" w:type="pct"/>
            <w:tcBorders>
              <w:bottom w:val="single" w:sz="12" w:space="0" w:color="D29F13" w:themeColor="accent4"/>
            </w:tcBorders>
          </w:tcPr>
          <w:p w14:paraId="24C124E5" w14:textId="0BA1B290" w:rsidR="00C04A38" w:rsidRPr="006530A3" w:rsidRDefault="007B11EC" w:rsidP="00352104">
            <w:pPr>
              <w:pStyle w:val="TableText"/>
              <w:jc w:val="center"/>
              <w:rPr>
                <w:bCs/>
                <w:szCs w:val="20"/>
              </w:rPr>
            </w:pPr>
            <w:r>
              <w:rPr>
                <w:bCs/>
                <w:szCs w:val="20"/>
              </w:rPr>
              <w:t>23</w:t>
            </w:r>
          </w:p>
        </w:tc>
        <w:tc>
          <w:tcPr>
            <w:tcW w:w="552" w:type="pct"/>
            <w:tcBorders>
              <w:bottom w:val="single" w:sz="12" w:space="0" w:color="D29F13" w:themeColor="accent4"/>
            </w:tcBorders>
            <w:vAlign w:val="center"/>
          </w:tcPr>
          <w:p w14:paraId="20B12F26" w14:textId="2964612D" w:rsidR="00C04A38" w:rsidRPr="006530A3" w:rsidRDefault="007B11EC" w:rsidP="00352104">
            <w:pPr>
              <w:pStyle w:val="TableText"/>
              <w:jc w:val="center"/>
              <w:rPr>
                <w:b/>
                <w:szCs w:val="20"/>
              </w:rPr>
            </w:pPr>
            <w:r>
              <w:rPr>
                <w:b/>
                <w:szCs w:val="20"/>
              </w:rPr>
              <w:t>28</w:t>
            </w:r>
          </w:p>
        </w:tc>
      </w:tr>
    </w:tbl>
    <w:p w14:paraId="39304156" w14:textId="503E7181" w:rsidR="00C04A38" w:rsidRPr="001C7ABD" w:rsidRDefault="00C04A38" w:rsidP="00C04A38">
      <w:r w:rsidRPr="001C7ABD">
        <w:t xml:space="preserve">Fatal and injury crashes have been monetized using </w:t>
      </w:r>
      <w:r w:rsidR="00B634E1">
        <w:t>the</w:t>
      </w:r>
      <w:r w:rsidRPr="001C7ABD">
        <w:t xml:space="preserve"> unit values found in Table A-1: Value of Reduced Fatalities</w:t>
      </w:r>
      <w:r w:rsidR="00B634E1">
        <w:t>,</w:t>
      </w:r>
      <w:r w:rsidRPr="001C7ABD">
        <w:t xml:space="preserve"> Injuries </w:t>
      </w:r>
      <w:r w:rsidR="00B634E1">
        <w:t xml:space="preserve">and Crashes </w:t>
      </w:r>
      <w:r w:rsidRPr="001C7ABD">
        <w:t xml:space="preserve">of the </w:t>
      </w:r>
      <w:r w:rsidR="00B634E1">
        <w:t>202</w:t>
      </w:r>
      <w:r w:rsidR="007B11EC">
        <w:t>5</w:t>
      </w:r>
      <w:r w:rsidR="00B634E1">
        <w:t xml:space="preserve"> BCA</w:t>
      </w:r>
      <w:r w:rsidR="00B634E1" w:rsidRPr="00C15543">
        <w:t xml:space="preserve"> Guidance</w:t>
      </w:r>
      <w:r w:rsidR="00B634E1">
        <w:t>.</w:t>
      </w:r>
    </w:p>
    <w:p w14:paraId="0B474BC6" w14:textId="7A05718D" w:rsidR="00C04A38" w:rsidRPr="001C7ABD" w:rsidRDefault="00C04A38" w:rsidP="00C04A38">
      <w:r w:rsidRPr="00591A1B">
        <w:t>Information included in Table A-1 notes that the monetized values for injury and fatal crashes are based on an estimate of approximately 1.44 injuries per injury crash and 1.09 fatalities per fatal crash and that the fatal crash value has been adjusted to account for the average number of injuries per fatal crash. Because the historic crash dataset did not include information on the number of injuries included in a reported fatal crash this BCA analysis assumes 1.09 fatalities per fatal crash (consistent with the NHT</w:t>
      </w:r>
      <w:r w:rsidR="003B12E6">
        <w:t>S</w:t>
      </w:r>
      <w:r w:rsidRPr="00591A1B">
        <w:t>A National Crash Statistics cited in the Guidance) and the associated monetized value of $</w:t>
      </w:r>
      <w:r w:rsidR="007B11EC">
        <w:t xml:space="preserve">13,700,000 </w:t>
      </w:r>
      <w:r w:rsidRPr="00591A1B">
        <w:t>per fatal crash.</w:t>
      </w:r>
    </w:p>
    <w:p w14:paraId="2E18580E" w14:textId="3FFA5B8F" w:rsidR="00671274" w:rsidRPr="001C7ABD" w:rsidRDefault="00671274" w:rsidP="00671274">
      <w:r w:rsidRPr="005C3DE6">
        <w:t>As noted, the $</w:t>
      </w:r>
      <w:r w:rsidR="004E7890">
        <w:t>342,400</w:t>
      </w:r>
      <w:r w:rsidRPr="005C3DE6">
        <w:t xml:space="preserve"> monetized value of an injury crash assumed 1.44 injuries per crash. Using the 1.44 factor, the monetized value of an injury was calculated at approximately $</w:t>
      </w:r>
      <w:r w:rsidR="00043A8C">
        <w:t xml:space="preserve">237,778 </w:t>
      </w:r>
      <w:r w:rsidRPr="005C3DE6">
        <w:t xml:space="preserve">per injury. </w:t>
      </w:r>
      <w:r w:rsidRPr="001C7ABD">
        <w:t xml:space="preserve">The historic injury crash data did include information on the number of injured persons. For the Baseline Scenario, the historic rate of injuries per injury crash were used in the determination of </w:t>
      </w:r>
      <w:r w:rsidRPr="00840A3F">
        <w:t>projected number of injuries and injury crashes. For the Preferred Scenario, the weighted average of 1.</w:t>
      </w:r>
      <w:r w:rsidR="00397AC8">
        <w:t>60</w:t>
      </w:r>
      <w:r w:rsidRPr="00840A3F">
        <w:t xml:space="preserve"> for the historic crashes at the US 85/120th Avenue Grade-Separation and Interchange Project intersections was applied.</w:t>
      </w:r>
    </w:p>
    <w:p w14:paraId="76F6CFA6" w14:textId="69A1F54C" w:rsidR="00671274" w:rsidRDefault="00671274" w:rsidP="00671274">
      <w:r w:rsidRPr="001C7ABD">
        <w:t xml:space="preserve">Property damage only (PDO) crashes have been monetized using </w:t>
      </w:r>
      <w:r w:rsidRPr="00397AC8">
        <w:rPr>
          <w:i/>
          <w:iCs/>
        </w:rPr>
        <w:t>The Economic and Societal Impact of Motor Vehicle Crashes, 201</w:t>
      </w:r>
      <w:r w:rsidR="005D2B09" w:rsidRPr="00397AC8">
        <w:rPr>
          <w:i/>
          <w:iCs/>
        </w:rPr>
        <w:t>9</w:t>
      </w:r>
      <w:r w:rsidRPr="00397AC8">
        <w:rPr>
          <w:i/>
          <w:iCs/>
        </w:rPr>
        <w:t xml:space="preserve"> (revised </w:t>
      </w:r>
      <w:r w:rsidR="005D2B09" w:rsidRPr="00397AC8">
        <w:rPr>
          <w:i/>
          <w:iCs/>
        </w:rPr>
        <w:t>February 2023</w:t>
      </w:r>
      <w:r w:rsidRPr="00397AC8">
        <w:rPr>
          <w:i/>
          <w:iCs/>
        </w:rPr>
        <w:t>)</w:t>
      </w:r>
      <w:r w:rsidRPr="00840A3F">
        <w:t xml:space="preserve">, Page </w:t>
      </w:r>
      <w:r w:rsidR="00E03665">
        <w:t>46</w:t>
      </w:r>
      <w:r w:rsidRPr="00840A3F">
        <w:t xml:space="preserve">, Table </w:t>
      </w:r>
      <w:r w:rsidR="00E03665">
        <w:t>2-9</w:t>
      </w:r>
      <w:r w:rsidRPr="00840A3F">
        <w:t>. Historic crash data indicates that on average 2.</w:t>
      </w:r>
      <w:r w:rsidR="00171ED9">
        <w:t>1</w:t>
      </w:r>
      <w:r w:rsidR="00C95831">
        <w:t>1</w:t>
      </w:r>
      <w:r w:rsidRPr="00840A3F">
        <w:t xml:space="preserve"> vehicles were involved in each PDO crash occurring at the 120</w:t>
      </w:r>
      <w:r w:rsidRPr="00840A3F">
        <w:rPr>
          <w:vertAlign w:val="superscript"/>
        </w:rPr>
        <w:t>th</w:t>
      </w:r>
      <w:r w:rsidRPr="00840A3F">
        <w:t xml:space="preserve"> Avenue/US 85 intersection, and 2.</w:t>
      </w:r>
      <w:r w:rsidR="00C95831">
        <w:t>21</w:t>
      </w:r>
      <w:r w:rsidRPr="00840A3F">
        <w:t xml:space="preserve"> vehicles per PDO crash at the 124</w:t>
      </w:r>
      <w:r w:rsidRPr="00840A3F">
        <w:rPr>
          <w:vertAlign w:val="superscript"/>
        </w:rPr>
        <w:t>th</w:t>
      </w:r>
      <w:r w:rsidRPr="00840A3F">
        <w:t xml:space="preserve"> Avenue/US 85 intersection. For the Preferred Scenario, a weighted average of 2.1</w:t>
      </w:r>
      <w:r w:rsidR="00C95831">
        <w:t>4</w:t>
      </w:r>
      <w:r w:rsidRPr="00840A3F">
        <w:t xml:space="preserve"> vehicles per PDO crash was used.</w:t>
      </w:r>
    </w:p>
    <w:p w14:paraId="259EAD81" w14:textId="77777777" w:rsidR="00791F5D" w:rsidRDefault="00791F5D" w:rsidP="00791F5D">
      <w:pPr>
        <w:pStyle w:val="Heading3"/>
      </w:pPr>
      <w:r>
        <w:t>Rail</w:t>
      </w:r>
      <w:r w:rsidRPr="001C7ABD">
        <w:t xml:space="preserve"> Safety Benefits</w:t>
      </w:r>
    </w:p>
    <w:p w14:paraId="5372F126" w14:textId="77777777" w:rsidR="00791F5D" w:rsidRDefault="00791F5D" w:rsidP="00791F5D">
      <w:r w:rsidRPr="00162912">
        <w:t xml:space="preserve">The </w:t>
      </w:r>
      <w:r w:rsidRPr="00162912">
        <w:rPr>
          <w:i/>
        </w:rPr>
        <w:t>Annual WBAPS Web Accident Prediction System for Public at-Grade Crossings</w:t>
      </w:r>
      <w:r w:rsidRPr="00162912">
        <w:t xml:space="preserve"> provides </w:t>
      </w:r>
      <w:r>
        <w:t xml:space="preserve">crossing inventory data and a crash history at crossing locations. Collision prediction factors and probabilities of fatalities and/or injuries have been calculated using the USDOT accident prediction model found in the </w:t>
      </w:r>
      <w:r>
        <w:rPr>
          <w:i/>
          <w:iCs/>
        </w:rPr>
        <w:t>Railroad-Highway Grade Crossing Handbook, Revised Second Edition</w:t>
      </w:r>
      <w:r>
        <w:t xml:space="preserve">. The </w:t>
      </w:r>
      <w:r w:rsidRPr="00171BC3">
        <w:t>prediction model is intended to predict, in absolute</w:t>
      </w:r>
      <w:r>
        <w:t xml:space="preserve"> </w:t>
      </w:r>
      <w:r w:rsidRPr="00171BC3">
        <w:t>terms, the likelihood of a collision occurring over a</w:t>
      </w:r>
      <w:r>
        <w:t xml:space="preserve"> </w:t>
      </w:r>
      <w:r w:rsidRPr="00171BC3">
        <w:t xml:space="preserve">given </w:t>
      </w:r>
      <w:proofErr w:type="gramStart"/>
      <w:r w:rsidRPr="00171BC3">
        <w:t>period of time</w:t>
      </w:r>
      <w:proofErr w:type="gramEnd"/>
      <w:r w:rsidRPr="00171BC3">
        <w:t xml:space="preserve"> given </w:t>
      </w:r>
      <w:r>
        <w:t>certain conditions such as the number of tracks, number of through trains, highway type, number of highway lanes, etc</w:t>
      </w:r>
      <w:r w:rsidRPr="00171BC3">
        <w:t>.</w:t>
      </w:r>
      <w:r>
        <w:t xml:space="preserve"> </w:t>
      </w:r>
    </w:p>
    <w:p w14:paraId="7B9A1CFC" w14:textId="77777777" w:rsidR="00791F5D" w:rsidRDefault="00791F5D" w:rsidP="00791F5D">
      <w:pPr>
        <w:autoSpaceDE w:val="0"/>
        <w:autoSpaceDN w:val="0"/>
        <w:adjustRightInd w:val="0"/>
        <w:spacing w:before="0" w:after="0"/>
      </w:pPr>
      <w:r>
        <w:t>Accident prediction factors have been calculated using the available rail operations information, traffic forecasts for conflicting AADT volumes and conservatively assuming no change in the number of daily trains at the crossing. The elimination of the US 85/124</w:t>
      </w:r>
      <w:r w:rsidRPr="000356B6">
        <w:rPr>
          <w:vertAlign w:val="superscript"/>
        </w:rPr>
        <w:t>th</w:t>
      </w:r>
      <w:r>
        <w:t xml:space="preserve"> Avenue crossing and the grade separation of the 120</w:t>
      </w:r>
      <w:r w:rsidRPr="00FE5ECE">
        <w:rPr>
          <w:vertAlign w:val="superscript"/>
        </w:rPr>
        <w:t>th</w:t>
      </w:r>
      <w:r>
        <w:t xml:space="preserve"> Avenue/US 85 crossing is projected to significantly reduce vehicle-rail interactions. </w:t>
      </w:r>
    </w:p>
    <w:p w14:paraId="35E895A6" w14:textId="2C680961" w:rsidR="006A60E9" w:rsidRPr="00162912" w:rsidRDefault="006A60E9" w:rsidP="006A60E9">
      <w:pPr>
        <w:rPr>
          <w:iCs/>
        </w:rPr>
      </w:pPr>
      <w:r w:rsidRPr="00162912">
        <w:t xml:space="preserve">Crashes involving vehicles and trains have been monetized using values found in </w:t>
      </w:r>
      <w:r w:rsidRPr="00162912">
        <w:rPr>
          <w:i/>
        </w:rPr>
        <w:t>NCHRP Report 755 – Comprehensive Costs of Highway-Rail Grade Crossing Crashes (2013)</w:t>
      </w:r>
      <w:r w:rsidRPr="00162912">
        <w:t>. Avoided crash costs were provided in 2011$ and adjusted to 20</w:t>
      </w:r>
      <w:r>
        <w:t>2</w:t>
      </w:r>
      <w:r w:rsidR="00764F15">
        <w:t>4</w:t>
      </w:r>
      <w:r w:rsidRPr="00162912">
        <w:t xml:space="preserve">$ using the </w:t>
      </w:r>
      <w:r w:rsidRPr="00162912">
        <w:rPr>
          <w:i/>
          <w:iCs/>
        </w:rPr>
        <w:t>Implicit price Deflators for Gross Domestic Product</w:t>
      </w:r>
      <w:r w:rsidRPr="00162912">
        <w:rPr>
          <w:iCs/>
        </w:rPr>
        <w:t xml:space="preserve">. NCHRP 755 provides an equation for calculating overall crash costs by severity as predicted crashes multiplied by primary effect costs per crash plus secondary costs per crash. This analysis includes primary cost effects </w:t>
      </w:r>
      <w:r w:rsidRPr="00162912">
        <w:rPr>
          <w:iCs/>
        </w:rPr>
        <w:lastRenderedPageBreak/>
        <w:t xml:space="preserve">which include the costs per crash by severity type (from </w:t>
      </w:r>
      <w:r w:rsidRPr="00162912">
        <w:rPr>
          <w:i/>
        </w:rPr>
        <w:t>Table A-1: Value of Reduced Fatalities and Injuries</w:t>
      </w:r>
      <w:r w:rsidRPr="00162912">
        <w:rPr>
          <w:iCs/>
        </w:rPr>
        <w:t>) plus property damage cost estimates.</w:t>
      </w:r>
    </w:p>
    <w:p w14:paraId="36C1D659" w14:textId="4B64B58E" w:rsidR="006A60E9" w:rsidRDefault="006A60E9" w:rsidP="006A60E9">
      <w:pPr>
        <w:rPr>
          <w:iCs/>
        </w:rPr>
      </w:pPr>
      <w:r w:rsidRPr="00162912">
        <w:rPr>
          <w:iCs/>
        </w:rPr>
        <w:t xml:space="preserve">Fatal rail crashes have been valued at </w:t>
      </w:r>
      <w:proofErr w:type="gramStart"/>
      <w:r w:rsidRPr="00162912">
        <w:rPr>
          <w:iCs/>
        </w:rPr>
        <w:t>$</w:t>
      </w:r>
      <w:r w:rsidR="00D34433">
        <w:rPr>
          <w:iCs/>
        </w:rPr>
        <w:t>14,225,476</w:t>
      </w:r>
      <w:r w:rsidRPr="00162912">
        <w:rPr>
          <w:iCs/>
        </w:rPr>
        <w:t>,</w:t>
      </w:r>
      <w:proofErr w:type="gramEnd"/>
      <w:r w:rsidRPr="00162912">
        <w:rPr>
          <w:iCs/>
        </w:rPr>
        <w:t xml:space="preserve"> injury crashes have been valued at $</w:t>
      </w:r>
      <w:r w:rsidR="00D34433">
        <w:rPr>
          <w:iCs/>
        </w:rPr>
        <w:t>369,584</w:t>
      </w:r>
      <w:r w:rsidRPr="00162912">
        <w:rPr>
          <w:iCs/>
        </w:rPr>
        <w:t xml:space="preserve"> and PDO crashes have been valued at $</w:t>
      </w:r>
      <w:r w:rsidR="00D34433">
        <w:rPr>
          <w:iCs/>
        </w:rPr>
        <w:t>131,657</w:t>
      </w:r>
      <w:r w:rsidRPr="00162912">
        <w:rPr>
          <w:iCs/>
        </w:rPr>
        <w:t>.</w:t>
      </w:r>
    </w:p>
    <w:p w14:paraId="32735C54" w14:textId="77777777" w:rsidR="001D47E1" w:rsidRDefault="001D47E1" w:rsidP="001D47E1">
      <w:pPr>
        <w:rPr>
          <w:iCs/>
        </w:rPr>
      </w:pPr>
      <w:r>
        <w:rPr>
          <w:iCs/>
        </w:rPr>
        <w:t>It is important to note that the UPRR indicated that the cost of a vehicle-rail crash along this segment of the rail line are particularly costly due to the numerous physical constraints. Any crash along this portion of single track necessitates closing all service along the track until repairs occur. The BCA did not attempt to quantify the additional impacts of these closures but relied on the information provided in NCHRP Report 755.</w:t>
      </w:r>
    </w:p>
    <w:p w14:paraId="2A34F516" w14:textId="77777777" w:rsidR="00CC7DAC" w:rsidRPr="00C45693" w:rsidRDefault="00CC7DAC" w:rsidP="00CC7DAC">
      <w:pPr>
        <w:pStyle w:val="Heading2"/>
      </w:pPr>
      <w:r w:rsidRPr="00C45693">
        <w:t>Emissions Reduction Benefits</w:t>
      </w:r>
    </w:p>
    <w:p w14:paraId="4CAB0783" w14:textId="77777777" w:rsidR="00CC7DAC" w:rsidRPr="00C45693" w:rsidRDefault="00CC7DAC" w:rsidP="00CC7DAC">
      <w:r w:rsidRPr="00C45693">
        <w:t xml:space="preserve">This BCA captures the projected change in idling emissions associated with transportation activities with and without the </w:t>
      </w:r>
      <w:r w:rsidRPr="009165F2">
        <w:t>US 85/120th Avenue Grade-Separation and Interchange</w:t>
      </w:r>
      <w:r>
        <w:t xml:space="preserve"> </w:t>
      </w:r>
      <w:r w:rsidRPr="00C45693">
        <w:t xml:space="preserve">Project. </w:t>
      </w:r>
    </w:p>
    <w:p w14:paraId="584C011C" w14:textId="77777777" w:rsidR="00CC7DAC" w:rsidRPr="00C45693" w:rsidRDefault="00CC7DAC" w:rsidP="00CC7DAC">
      <w:r w:rsidRPr="00C45693">
        <w:t>Tailpipe emission factors for idling emissions were calculated using the MOVES</w:t>
      </w:r>
      <w:r>
        <w:t>3</w:t>
      </w:r>
      <w:r w:rsidRPr="00C45693">
        <w:t xml:space="preserve"> model </w:t>
      </w:r>
      <w:r>
        <w:t>for</w:t>
      </w:r>
      <w:r w:rsidRPr="00C45693">
        <w:t xml:space="preserve"> Colorado. Emission factors for </w:t>
      </w:r>
      <w:r>
        <w:t xml:space="preserve">2020, 2030, 2040 </w:t>
      </w:r>
      <w:r w:rsidRPr="00C45693">
        <w:t>and 20</w:t>
      </w:r>
      <w:r>
        <w:t>5</w:t>
      </w:r>
      <w:r w:rsidRPr="00C45693">
        <w:t xml:space="preserve">0 were </w:t>
      </w:r>
      <w:r>
        <w:t>extracted</w:t>
      </w:r>
      <w:r w:rsidRPr="00C45693">
        <w:t>. Straight line interpolation was used to forecast emission factors for interim years. All emissions calculations have been converted to short tons.</w:t>
      </w:r>
    </w:p>
    <w:p w14:paraId="76D364D0" w14:textId="77777777" w:rsidR="00CC7DAC" w:rsidRPr="00C45693" w:rsidRDefault="00CC7DAC" w:rsidP="00CC7DAC">
      <w:r w:rsidRPr="00C45693">
        <w:t xml:space="preserve">It is important to note that emission factors decrease year over year reflecting improvements in vehicle fuel efficiency. As noted, straight line interpolation has been used to forecast emission years for non-modeled horizons. </w:t>
      </w:r>
    </w:p>
    <w:p w14:paraId="26CF7101" w14:textId="505F9E96" w:rsidR="00CC7DAC" w:rsidRPr="003A4DFA" w:rsidRDefault="00CC7DAC" w:rsidP="00CC7DAC">
      <w:r w:rsidRPr="00C45693">
        <w:t>The reduction in vehicular (from passenger vehicles and commercial trucks) idling emissions have been calculated using the projection reduction in stopped delay between the Baseline and Preferred Scenarios</w:t>
      </w:r>
      <w:r>
        <w:t>.</w:t>
      </w:r>
      <w:r w:rsidRPr="00C45693">
        <w:t xml:space="preserve"> </w:t>
      </w:r>
    </w:p>
    <w:p w14:paraId="43034026" w14:textId="77777777" w:rsidR="00683894" w:rsidRPr="003A4DFA" w:rsidRDefault="00683894" w:rsidP="00683894">
      <w:pPr>
        <w:pStyle w:val="Heading2"/>
      </w:pPr>
      <w:r w:rsidRPr="003A4DFA">
        <w:t>Other Issues in Benefit Estimation</w:t>
      </w:r>
    </w:p>
    <w:p w14:paraId="7CE44846" w14:textId="462E069C" w:rsidR="00BC0237" w:rsidRDefault="00BC0237" w:rsidP="00683894">
      <w:pPr>
        <w:pStyle w:val="Heading3"/>
      </w:pPr>
      <w:r>
        <w:t>Agglomeration Economies and Land Use</w:t>
      </w:r>
    </w:p>
    <w:p w14:paraId="6511CB4C" w14:textId="03343A16" w:rsidR="00BC0237" w:rsidRDefault="00142955" w:rsidP="00BC0237">
      <w:pPr>
        <w:pStyle w:val="BodyText"/>
      </w:pPr>
      <w:r>
        <w:t xml:space="preserve">As noted in the BCA Guidance, new or improved transportation infrastructure can result in positive </w:t>
      </w:r>
      <w:r w:rsidR="006F493B">
        <w:t xml:space="preserve">economic impacts. </w:t>
      </w:r>
      <w:r w:rsidR="00163738">
        <w:t>The guidance notes that such</w:t>
      </w:r>
      <w:r w:rsidR="00163738" w:rsidRPr="00163738">
        <w:t xml:space="preserve"> benefits </w:t>
      </w:r>
      <w:r w:rsidR="00163738">
        <w:t>are</w:t>
      </w:r>
      <w:r w:rsidR="00163738" w:rsidRPr="00163738">
        <w:t xml:space="preserve"> highly context- and project-specific</w:t>
      </w:r>
      <w:r w:rsidR="005B4BFA">
        <w:t xml:space="preserve"> and does include</w:t>
      </w:r>
      <w:r w:rsidR="00163738" w:rsidRPr="00163738">
        <w:t xml:space="preserve"> guidance on how such impacts should be quantified. </w:t>
      </w:r>
      <w:r w:rsidR="005B4BFA">
        <w:t>As such, these potential benefits have not been included in this BCA.</w:t>
      </w:r>
    </w:p>
    <w:p w14:paraId="24A045E6" w14:textId="77777777" w:rsidR="005B4BFA" w:rsidRPr="003A4DFA" w:rsidRDefault="005B4BFA" w:rsidP="005B4BFA">
      <w:pPr>
        <w:pStyle w:val="Heading3"/>
      </w:pPr>
      <w:r w:rsidRPr="003A4DFA">
        <w:t>Noise Pollution</w:t>
      </w:r>
    </w:p>
    <w:p w14:paraId="33A65163" w14:textId="77777777" w:rsidR="005B4BFA" w:rsidRPr="003A4DFA" w:rsidRDefault="005B4BFA" w:rsidP="005B4BFA">
      <w:r w:rsidRPr="00742128">
        <w:t>A noise analysis is in process as part of completing the necessary environmental clearances. However, due to the incomplete nature of the noise evaluations, the analysis did not include an evaluation of noise pollution associated with the US 85/120th Avenue Grade-Separation and Interchange Project.</w:t>
      </w:r>
    </w:p>
    <w:p w14:paraId="39705FEE" w14:textId="5FB1139A" w:rsidR="005B4BFA" w:rsidRPr="003A4DFA" w:rsidRDefault="005B4BFA" w:rsidP="005B4BFA">
      <w:pPr>
        <w:pStyle w:val="Heading3"/>
      </w:pPr>
      <w:r>
        <w:t xml:space="preserve">Temporary </w:t>
      </w:r>
      <w:r w:rsidRPr="003A4DFA">
        <w:t>Loss of Emergency Services</w:t>
      </w:r>
    </w:p>
    <w:p w14:paraId="271CFACA" w14:textId="77777777" w:rsidR="005B4BFA" w:rsidRDefault="005B4BFA" w:rsidP="005B4BFA">
      <w:r>
        <w:t xml:space="preserve">The </w:t>
      </w:r>
      <w:r w:rsidRPr="003A4DFA">
        <w:t xml:space="preserve">analysis does not include these benefits as it was determined that there </w:t>
      </w:r>
      <w:r w:rsidRPr="001050ED">
        <w:t>was insufficient information available to quantify these benefits.</w:t>
      </w:r>
    </w:p>
    <w:p w14:paraId="5ADB06F3" w14:textId="77777777" w:rsidR="005B4BFA" w:rsidRPr="003A4DFA" w:rsidRDefault="005B4BFA" w:rsidP="005B4BFA">
      <w:pPr>
        <w:pStyle w:val="Heading3"/>
      </w:pPr>
      <w:r>
        <w:t>Stormwater Runoff</w:t>
      </w:r>
    </w:p>
    <w:p w14:paraId="1FA68E71" w14:textId="77777777" w:rsidR="005B4BFA" w:rsidRPr="001050ED" w:rsidRDefault="005B4BFA" w:rsidP="005B4BFA">
      <w:r>
        <w:t xml:space="preserve">The </w:t>
      </w:r>
      <w:r w:rsidRPr="003A4DFA">
        <w:t xml:space="preserve">analysis does not include these benefits as it was determined that there </w:t>
      </w:r>
      <w:r w:rsidRPr="001050ED">
        <w:t>was insufficient information available to quantify these benefits.</w:t>
      </w:r>
    </w:p>
    <w:p w14:paraId="5D6ED08F" w14:textId="77777777" w:rsidR="005B4BFA" w:rsidRPr="003A4DFA" w:rsidRDefault="005B4BFA" w:rsidP="005B4BFA">
      <w:pPr>
        <w:pStyle w:val="Heading3"/>
      </w:pPr>
      <w:r>
        <w:t>Wildlife Impacts</w:t>
      </w:r>
    </w:p>
    <w:p w14:paraId="7F43DD7B" w14:textId="77777777" w:rsidR="005B4BFA" w:rsidRPr="001050ED" w:rsidRDefault="005B4BFA" w:rsidP="005B4BFA">
      <w:r>
        <w:t xml:space="preserve">The </w:t>
      </w:r>
      <w:r w:rsidRPr="003A4DFA">
        <w:t xml:space="preserve">analysis does not include these </w:t>
      </w:r>
      <w:r>
        <w:t>impacts</w:t>
      </w:r>
      <w:r w:rsidRPr="003A4DFA">
        <w:t xml:space="preserve"> it was determined that there </w:t>
      </w:r>
      <w:r w:rsidRPr="001050ED">
        <w:t>was insufficient information available to quantify these benefits.</w:t>
      </w:r>
    </w:p>
    <w:p w14:paraId="0F394F34" w14:textId="3B998F13" w:rsidR="005B4BFA" w:rsidRDefault="005B4BFA" w:rsidP="005B4BFA">
      <w:pPr>
        <w:pStyle w:val="Heading3"/>
      </w:pPr>
      <w:r>
        <w:lastRenderedPageBreak/>
        <w:t>Repurposed Right-of-Way</w:t>
      </w:r>
    </w:p>
    <w:p w14:paraId="714344A9" w14:textId="77777777" w:rsidR="005B4BFA" w:rsidRPr="001050ED" w:rsidRDefault="005B4BFA" w:rsidP="005B4BFA">
      <w:r>
        <w:t xml:space="preserve">The </w:t>
      </w:r>
      <w:r w:rsidRPr="003A4DFA">
        <w:t xml:space="preserve">analysis does not include these </w:t>
      </w:r>
      <w:r>
        <w:t>impacts</w:t>
      </w:r>
      <w:r w:rsidRPr="003A4DFA">
        <w:t xml:space="preserve"> it was determined that there </w:t>
      </w:r>
      <w:r w:rsidRPr="001050ED">
        <w:t>was insufficient information available to quantify these benefits.</w:t>
      </w:r>
    </w:p>
    <w:p w14:paraId="6EC0C233" w14:textId="29E2CD22" w:rsidR="00683894" w:rsidRPr="003A4DFA" w:rsidRDefault="00683894" w:rsidP="00683894">
      <w:pPr>
        <w:pStyle w:val="Heading3"/>
      </w:pPr>
      <w:r w:rsidRPr="003A4DFA">
        <w:t>Benefits to Existing and Additional Users</w:t>
      </w:r>
    </w:p>
    <w:p w14:paraId="73E71AE8" w14:textId="77777777" w:rsidR="00683894" w:rsidRPr="003A4DFA" w:rsidRDefault="00683894" w:rsidP="00683894">
      <w:r w:rsidRPr="003A4DFA">
        <w:t xml:space="preserve">The benefits to existing and additional users have been captured in the analysis by quantifying the total change in hours of delay experienced by all vehicles in the project area. Quantifying the total delay experienced by all users, as opposed to separately quantifying the reduction in delay for existing and additional users, avoids over stating the reduction in delay for additional users. This approach captures delay experienced by additional users as additive, rather than attributing a portion of the expected delay savings to new users, and this reflects a conservative approach. </w:t>
      </w:r>
    </w:p>
    <w:p w14:paraId="04002434" w14:textId="77777777" w:rsidR="00683894" w:rsidRPr="003A4DFA" w:rsidRDefault="00683894" w:rsidP="00683894">
      <w:pPr>
        <w:pStyle w:val="Heading3"/>
      </w:pPr>
      <w:r w:rsidRPr="003A4DFA">
        <w:t>Modal Diversion</w:t>
      </w:r>
    </w:p>
    <w:p w14:paraId="1479A45A" w14:textId="77777777" w:rsidR="00683894" w:rsidRPr="003A4DFA" w:rsidRDefault="00683894" w:rsidP="00683894">
      <w:r w:rsidRPr="003A4DFA">
        <w:t xml:space="preserve">Modal diversion from alternative routes for the </w:t>
      </w:r>
      <w:r w:rsidRPr="009165F2">
        <w:t>US 85/120th Avenue Grade-Separation and Interchange</w:t>
      </w:r>
      <w:r>
        <w:t xml:space="preserve"> </w:t>
      </w:r>
      <w:r w:rsidRPr="003A4DFA">
        <w:t>Project have been accounted for in the benefit calculations via the travel demand modeling efforts that have informed the operational analyses for both the Baseline and Preferred scenarios.</w:t>
      </w:r>
    </w:p>
    <w:p w14:paraId="19A2D2C9" w14:textId="77777777" w:rsidR="00683894" w:rsidRPr="003A4DFA" w:rsidRDefault="00683894" w:rsidP="00683894">
      <w:pPr>
        <w:pStyle w:val="Heading3"/>
      </w:pPr>
      <w:r w:rsidRPr="003A4DFA">
        <w:t>Work Zone Impacts</w:t>
      </w:r>
    </w:p>
    <w:p w14:paraId="167D2471" w14:textId="77777777" w:rsidR="00683894" w:rsidRPr="003A4DFA" w:rsidRDefault="00683894" w:rsidP="00683894">
      <w:r w:rsidRPr="003A4DFA">
        <w:t xml:space="preserve">The analysis did not include an evaluation of work zone impacts associated with the </w:t>
      </w:r>
      <w:r w:rsidRPr="009165F2">
        <w:t>US 85/120th Avenue Grade-Separation and Interchange</w:t>
      </w:r>
      <w:r>
        <w:t xml:space="preserve"> </w:t>
      </w:r>
      <w:r w:rsidRPr="003A4DFA">
        <w:t xml:space="preserve">Project. </w:t>
      </w:r>
    </w:p>
    <w:p w14:paraId="59EBB819" w14:textId="77777777" w:rsidR="00683894" w:rsidRPr="003A4DFA" w:rsidRDefault="00683894" w:rsidP="00683894">
      <w:r w:rsidRPr="003A4DFA">
        <w:t xml:space="preserve">At the time of the analysis, there was insufficient information available for the project phasing and construction traffic management plan to complete an analysis of work zone impacts. At the time of the analysis, the general approach was to maintain connectivity of all routes during construction. </w:t>
      </w:r>
    </w:p>
    <w:p w14:paraId="43028800" w14:textId="77777777" w:rsidR="00683894" w:rsidRPr="003A4DFA" w:rsidRDefault="00683894" w:rsidP="00683894">
      <w:r w:rsidRPr="00742128">
        <w:t>Furthermore, the Baselined Scenario repaving project would be expected to occur around the same timeframe as the planned construction for the Preferred Scenario. Work zone traffic management plans for significant construction activity under both scenarios were not available at the time of this analysis.</w:t>
      </w:r>
    </w:p>
    <w:p w14:paraId="3B93AC6C" w14:textId="1364AC47" w:rsidR="00C5283F" w:rsidRDefault="00C5283F" w:rsidP="00683894">
      <w:pPr>
        <w:pStyle w:val="Heading3"/>
      </w:pPr>
      <w:r>
        <w:t>State of Good Repair</w:t>
      </w:r>
    </w:p>
    <w:p w14:paraId="4957DD30" w14:textId="2CC639D8" w:rsidR="00C5283F" w:rsidRPr="00C5283F" w:rsidRDefault="00C5283F" w:rsidP="00C5283F">
      <w:pPr>
        <w:pStyle w:val="BodyText"/>
      </w:pPr>
      <w:r>
        <w:t xml:space="preserve">This analysis accounted for </w:t>
      </w:r>
      <w:proofErr w:type="gramStart"/>
      <w:r>
        <w:t>any</w:t>
      </w:r>
      <w:proofErr w:type="gramEnd"/>
      <w:r>
        <w:t xml:space="preserve"> benefits associated with the project replacing, repairing and/or improving existing transportation infrastructure in the </w:t>
      </w:r>
      <w:r w:rsidR="00C2576A">
        <w:t>operations and maintenance benefits and did not pur</w:t>
      </w:r>
      <w:r w:rsidR="00BE1CD5">
        <w:t xml:space="preserve">sue quantifying additional benefits to avoid double counting. </w:t>
      </w:r>
    </w:p>
    <w:p w14:paraId="53283793" w14:textId="76F8A30A" w:rsidR="00683894" w:rsidRPr="003A4DFA" w:rsidRDefault="00683894" w:rsidP="00683894">
      <w:pPr>
        <w:pStyle w:val="Heading3"/>
      </w:pPr>
      <w:r w:rsidRPr="003A4DFA">
        <w:t>Resilience</w:t>
      </w:r>
    </w:p>
    <w:p w14:paraId="48E8D87F" w14:textId="77777777" w:rsidR="00683894" w:rsidRPr="003A4DFA" w:rsidRDefault="00683894" w:rsidP="00683894">
      <w:r w:rsidRPr="003A4DFA">
        <w:t xml:space="preserve">The analysis did not include an evaluation of resiliency associated with the </w:t>
      </w:r>
      <w:r w:rsidRPr="009165F2">
        <w:t>US 85/120th Avenue Grade-Separation and Interchange</w:t>
      </w:r>
      <w:r>
        <w:t xml:space="preserve"> </w:t>
      </w:r>
      <w:r w:rsidRPr="003A4DFA">
        <w:t>Project.</w:t>
      </w:r>
    </w:p>
    <w:p w14:paraId="09D57360" w14:textId="77777777" w:rsidR="00A2748D" w:rsidRDefault="00A2748D" w:rsidP="00A2748D">
      <w:pPr>
        <w:pStyle w:val="Heading3"/>
      </w:pPr>
      <w:r>
        <w:t>Geographic Extent</w:t>
      </w:r>
    </w:p>
    <w:p w14:paraId="5CB7CCDD" w14:textId="0ECFE6F5" w:rsidR="00A2748D" w:rsidRPr="002B76BB" w:rsidRDefault="00A2748D" w:rsidP="00A2748D">
      <w:pPr>
        <w:pStyle w:val="BodyText"/>
      </w:pPr>
      <w:r>
        <w:t xml:space="preserve">The analysis did not include an evaluation of the transportation benefits that may accrue to uses and non-users at the regional or national level. While the project includes completing sidewalk and shared use facilities that may have broader benefits, these potential benefits have not </w:t>
      </w:r>
      <w:r w:rsidR="00C77CDF">
        <w:t>been</w:t>
      </w:r>
      <w:r>
        <w:t xml:space="preserve"> included in this analysis.</w:t>
      </w:r>
    </w:p>
    <w:p w14:paraId="123B33D2" w14:textId="77777777" w:rsidR="00A2748D" w:rsidRPr="002F5ED9" w:rsidRDefault="00A2748D" w:rsidP="00A2748D">
      <w:pPr>
        <w:pStyle w:val="Heading3"/>
      </w:pPr>
      <w:r w:rsidRPr="002F5ED9">
        <w:t>Property Value Increases</w:t>
      </w:r>
    </w:p>
    <w:p w14:paraId="043FCA99" w14:textId="77777777" w:rsidR="00A2748D" w:rsidRPr="002F5ED9" w:rsidRDefault="00A2748D" w:rsidP="00A2748D">
      <w:r w:rsidRPr="002F5ED9">
        <w:t xml:space="preserve">Transportation projects can increase accessibility and improve attractiveness of adjacent land parcels that can often result in increased property values. There was insufficient information available to quantify potential property value impacts independent of the benefits already captured in the analysis. </w:t>
      </w:r>
    </w:p>
    <w:p w14:paraId="1E4BF1C0" w14:textId="77777777" w:rsidR="00A2748D" w:rsidRPr="002F5ED9" w:rsidRDefault="00A2748D" w:rsidP="00A2748D">
      <w:r w:rsidRPr="002F5ED9">
        <w:t xml:space="preserve">Therefore, the analysis did not include an evaluation of benefits from property value increases associated with the </w:t>
      </w:r>
      <w:r w:rsidRPr="009165F2">
        <w:t>US 85/120th Avenue Grade-Separation and Interchange</w:t>
      </w:r>
      <w:r>
        <w:t xml:space="preserve"> </w:t>
      </w:r>
      <w:r w:rsidRPr="002F5ED9">
        <w:t>Project.</w:t>
      </w:r>
    </w:p>
    <w:p w14:paraId="2B71E829" w14:textId="3FDF75A1" w:rsidR="00484D3E" w:rsidRPr="002F5ED9" w:rsidRDefault="00484D3E" w:rsidP="00484D3E">
      <w:pPr>
        <w:pStyle w:val="Heading1"/>
      </w:pPr>
      <w:r w:rsidRPr="002F5ED9">
        <w:lastRenderedPageBreak/>
        <w:t>Costs</w:t>
      </w:r>
    </w:p>
    <w:p w14:paraId="4BE43AE5" w14:textId="77777777" w:rsidR="00484D3E" w:rsidRPr="002F5ED9" w:rsidRDefault="00484D3E" w:rsidP="00484D3E">
      <w:pPr>
        <w:pStyle w:val="Heading2"/>
      </w:pPr>
      <w:r w:rsidRPr="002F5ED9">
        <w:t>Capital Expenditures</w:t>
      </w:r>
    </w:p>
    <w:p w14:paraId="0DB44068" w14:textId="77777777" w:rsidR="00484D3E" w:rsidRPr="002F5ED9" w:rsidRDefault="00484D3E" w:rsidP="00484D3E">
      <w:r w:rsidRPr="002F5ED9">
        <w:t xml:space="preserve">The analysis includes the following </w:t>
      </w:r>
      <w:r>
        <w:t xml:space="preserve">estimated </w:t>
      </w:r>
      <w:r w:rsidRPr="002F5ED9">
        <w:t>capital costs:</w:t>
      </w:r>
    </w:p>
    <w:p w14:paraId="571787C2" w14:textId="77777777" w:rsidR="00484D3E" w:rsidRPr="00742128" w:rsidRDefault="00484D3E" w:rsidP="00484D3E">
      <w:pPr>
        <w:pStyle w:val="ReportBullet1"/>
      </w:pPr>
      <w:r w:rsidRPr="00742128">
        <w:t>NEPA Costs</w:t>
      </w:r>
    </w:p>
    <w:p w14:paraId="3CBFFD3C" w14:textId="77777777" w:rsidR="00484D3E" w:rsidRPr="00742128" w:rsidRDefault="00484D3E" w:rsidP="00484D3E">
      <w:pPr>
        <w:pStyle w:val="ReportBullet1"/>
      </w:pPr>
      <w:r w:rsidRPr="00742128">
        <w:t>ROW Acquisition and Relocation Costs</w:t>
      </w:r>
    </w:p>
    <w:p w14:paraId="2C62C5E2" w14:textId="77777777" w:rsidR="00484D3E" w:rsidRPr="00742128" w:rsidRDefault="00484D3E" w:rsidP="00484D3E">
      <w:pPr>
        <w:pStyle w:val="ReportBullet1"/>
      </w:pPr>
      <w:r w:rsidRPr="00742128">
        <w:t xml:space="preserve">Agency Design Review Costs, Consultant Design Costs, In-Direct Design and Construction Engineering Costs </w:t>
      </w:r>
    </w:p>
    <w:p w14:paraId="644E35D5" w14:textId="77777777" w:rsidR="00484D3E" w:rsidRPr="00742128" w:rsidRDefault="00484D3E" w:rsidP="00484D3E">
      <w:pPr>
        <w:pStyle w:val="ReportBullet1LAST"/>
      </w:pPr>
      <w:r w:rsidRPr="00742128">
        <w:t>Construction Costs</w:t>
      </w:r>
    </w:p>
    <w:p w14:paraId="27741834" w14:textId="726AE9E8" w:rsidR="00484D3E" w:rsidRDefault="00484D3E" w:rsidP="00484D3E">
      <w:r w:rsidRPr="002F5ED9">
        <w:t>Previously incurred costs have been inflated to 20</w:t>
      </w:r>
      <w:r>
        <w:t>2</w:t>
      </w:r>
      <w:r w:rsidR="00C77CDF">
        <w:t>4</w:t>
      </w:r>
      <w:r w:rsidRPr="002F5ED9">
        <w:t xml:space="preserve">$ using the factors published in the Bureau of Economic Analysis, National Income and Product Accounts, Table 1.1.9, "Implicit Price Deflators for Gross Domestic Product", </w:t>
      </w:r>
      <w:r w:rsidR="006C239E">
        <w:t>September 2025</w:t>
      </w:r>
      <w:r w:rsidRPr="002F5ED9">
        <w:t>.</w:t>
      </w:r>
    </w:p>
    <w:p w14:paraId="2BD144FB" w14:textId="745C7645" w:rsidR="00484D3E" w:rsidRDefault="008F1267" w:rsidP="00484D3E">
      <w:r>
        <w:fldChar w:fldCharType="begin"/>
      </w:r>
      <w:r>
        <w:instrText xml:space="preserve"> REF _Ref158879681 \h </w:instrText>
      </w:r>
      <w:r>
        <w:fldChar w:fldCharType="separate"/>
      </w:r>
      <w:r>
        <w:t xml:space="preserve">Table </w:t>
      </w:r>
      <w:r>
        <w:rPr>
          <w:noProof/>
        </w:rPr>
        <w:t>6</w:t>
      </w:r>
      <w:r>
        <w:fldChar w:fldCharType="end"/>
      </w:r>
      <w:r>
        <w:t xml:space="preserve"> </w:t>
      </w:r>
      <w:r w:rsidR="00484D3E">
        <w:t xml:space="preserve">summarizes expended and projected costs associated with the </w:t>
      </w:r>
      <w:r w:rsidR="00484D3E" w:rsidRPr="009165F2">
        <w:t>US 85/120th Avenue Grade-Separation and Interchange</w:t>
      </w:r>
      <w:r w:rsidR="00484D3E">
        <w:t xml:space="preserve"> Project in 202</w:t>
      </w:r>
      <w:r w:rsidR="006C239E">
        <w:t>4</w:t>
      </w:r>
      <w:r w:rsidR="00484D3E">
        <w:t>$. All project costs incurred prior to 202</w:t>
      </w:r>
      <w:r w:rsidR="006C239E">
        <w:t>4</w:t>
      </w:r>
      <w:r w:rsidR="00484D3E">
        <w:t xml:space="preserve"> have been inflated to 202</w:t>
      </w:r>
      <w:r w:rsidR="006C239E">
        <w:t>4</w:t>
      </w:r>
      <w:r w:rsidR="00484D3E">
        <w:t>$ as noted above and are reflected under the 202</w:t>
      </w:r>
      <w:r w:rsidR="006C239E">
        <w:t>4</w:t>
      </w:r>
      <w:r w:rsidR="00484D3E">
        <w:t xml:space="preserve"> column.</w:t>
      </w:r>
    </w:p>
    <w:p w14:paraId="16500C9B" w14:textId="1049EB3D" w:rsidR="00484D3E" w:rsidRPr="003A4DFA" w:rsidRDefault="008F1267" w:rsidP="008F1267">
      <w:pPr>
        <w:pStyle w:val="Caption"/>
      </w:pPr>
      <w:bookmarkStart w:id="9" w:name="_Ref158879681"/>
      <w:r>
        <w:t xml:space="preserve">Table </w:t>
      </w:r>
      <w:r>
        <w:fldChar w:fldCharType="begin"/>
      </w:r>
      <w:r>
        <w:instrText xml:space="preserve"> SEQ Table \* ARABIC </w:instrText>
      </w:r>
      <w:r>
        <w:fldChar w:fldCharType="separate"/>
      </w:r>
      <w:r w:rsidR="00896659">
        <w:rPr>
          <w:noProof/>
        </w:rPr>
        <w:t>6</w:t>
      </w:r>
      <w:r>
        <w:fldChar w:fldCharType="end"/>
      </w:r>
      <w:bookmarkEnd w:id="9"/>
      <w:r w:rsidR="00484D3E" w:rsidRPr="003A4DFA">
        <w:t>.</w:t>
      </w:r>
      <w:r w:rsidR="00484D3E" w:rsidRPr="003A4DFA">
        <w:tab/>
      </w:r>
      <w:r w:rsidR="00484D3E">
        <w:t>Expended and Projected Project Costs (20</w:t>
      </w:r>
      <w:r w:rsidR="001B0713">
        <w:t>2</w:t>
      </w:r>
      <w:r w:rsidR="006C239E">
        <w:t>4</w:t>
      </w:r>
      <w:r w:rsidR="00484D3E">
        <w:t>$)</w:t>
      </w:r>
    </w:p>
    <w:tbl>
      <w:tblPr>
        <w:tblStyle w:val="TableGrid"/>
        <w:tblW w:w="0" w:type="auto"/>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ook w:val="04A0" w:firstRow="1" w:lastRow="0" w:firstColumn="1" w:lastColumn="0" w:noHBand="0" w:noVBand="1"/>
      </w:tblPr>
      <w:tblGrid>
        <w:gridCol w:w="2196"/>
        <w:gridCol w:w="1096"/>
        <w:gridCol w:w="876"/>
        <w:gridCol w:w="1008"/>
        <w:gridCol w:w="1096"/>
        <w:gridCol w:w="1096"/>
        <w:gridCol w:w="1096"/>
        <w:gridCol w:w="1184"/>
      </w:tblGrid>
      <w:tr w:rsidR="004125EA" w:rsidRPr="003A4DFA" w14:paraId="23094D96" w14:textId="77777777" w:rsidTr="004125EA">
        <w:tc>
          <w:tcPr>
            <w:tcW w:w="2790" w:type="dxa"/>
            <w:shd w:val="clear" w:color="auto" w:fill="D29F13" w:themeFill="accent4"/>
            <w:vAlign w:val="center"/>
          </w:tcPr>
          <w:p w14:paraId="18004B5C" w14:textId="77777777" w:rsidR="00EA1AE0" w:rsidRPr="00FA74B4" w:rsidRDefault="00EA1AE0" w:rsidP="006C239E">
            <w:pPr>
              <w:pStyle w:val="TableHeading"/>
              <w:rPr>
                <w:sz w:val="15"/>
                <w:szCs w:val="15"/>
              </w:rPr>
            </w:pPr>
          </w:p>
        </w:tc>
        <w:tc>
          <w:tcPr>
            <w:tcW w:w="972" w:type="dxa"/>
            <w:shd w:val="clear" w:color="auto" w:fill="D29F13" w:themeFill="accent4"/>
          </w:tcPr>
          <w:p w14:paraId="5E57D2F9" w14:textId="4550D093" w:rsidR="00EA1AE0" w:rsidRPr="00FA74B4" w:rsidRDefault="00EA1AE0" w:rsidP="006C239E">
            <w:pPr>
              <w:pStyle w:val="TableHeading"/>
              <w:rPr>
                <w:sz w:val="18"/>
                <w:szCs w:val="18"/>
              </w:rPr>
            </w:pPr>
            <w:r>
              <w:rPr>
                <w:sz w:val="18"/>
                <w:szCs w:val="18"/>
              </w:rPr>
              <w:t>2024</w:t>
            </w:r>
          </w:p>
        </w:tc>
        <w:tc>
          <w:tcPr>
            <w:tcW w:w="818" w:type="dxa"/>
            <w:shd w:val="clear" w:color="auto" w:fill="D29F13" w:themeFill="accent4"/>
          </w:tcPr>
          <w:p w14:paraId="6A459064" w14:textId="6C8F6DA5" w:rsidR="00EA1AE0" w:rsidRPr="00FA74B4" w:rsidRDefault="00EA1AE0" w:rsidP="006C239E">
            <w:pPr>
              <w:pStyle w:val="TableHeading"/>
              <w:rPr>
                <w:sz w:val="18"/>
                <w:szCs w:val="18"/>
              </w:rPr>
            </w:pPr>
            <w:r>
              <w:rPr>
                <w:sz w:val="18"/>
                <w:szCs w:val="18"/>
              </w:rPr>
              <w:t>2025</w:t>
            </w:r>
          </w:p>
        </w:tc>
        <w:tc>
          <w:tcPr>
            <w:tcW w:w="933" w:type="dxa"/>
            <w:shd w:val="clear" w:color="auto" w:fill="D29F13" w:themeFill="accent4"/>
            <w:vAlign w:val="center"/>
          </w:tcPr>
          <w:p w14:paraId="09C148CA" w14:textId="05169D27" w:rsidR="00EA1AE0" w:rsidRPr="00FA74B4" w:rsidRDefault="00EA1AE0" w:rsidP="006C239E">
            <w:pPr>
              <w:pStyle w:val="TableHeading"/>
              <w:rPr>
                <w:sz w:val="18"/>
                <w:szCs w:val="18"/>
              </w:rPr>
            </w:pPr>
            <w:r>
              <w:rPr>
                <w:sz w:val="18"/>
                <w:szCs w:val="18"/>
              </w:rPr>
              <w:t>2026</w:t>
            </w:r>
          </w:p>
        </w:tc>
        <w:tc>
          <w:tcPr>
            <w:tcW w:w="1013" w:type="dxa"/>
            <w:shd w:val="clear" w:color="auto" w:fill="D29F13" w:themeFill="accent4"/>
          </w:tcPr>
          <w:p w14:paraId="5712158B" w14:textId="07BAD243" w:rsidR="00EA1AE0" w:rsidRPr="00FA74B4" w:rsidRDefault="00EA1AE0" w:rsidP="006C239E">
            <w:pPr>
              <w:pStyle w:val="TableHeading"/>
              <w:rPr>
                <w:sz w:val="18"/>
                <w:szCs w:val="18"/>
              </w:rPr>
            </w:pPr>
            <w:r>
              <w:rPr>
                <w:sz w:val="18"/>
                <w:szCs w:val="18"/>
              </w:rPr>
              <w:t>2027</w:t>
            </w:r>
          </w:p>
        </w:tc>
        <w:tc>
          <w:tcPr>
            <w:tcW w:w="1013" w:type="dxa"/>
            <w:shd w:val="clear" w:color="auto" w:fill="D29F13" w:themeFill="accent4"/>
          </w:tcPr>
          <w:p w14:paraId="6BD15D1F" w14:textId="7CEE28D9" w:rsidR="00EA1AE0" w:rsidRPr="00FA74B4" w:rsidRDefault="00EA1AE0" w:rsidP="006C239E">
            <w:pPr>
              <w:pStyle w:val="TableHeading"/>
              <w:rPr>
                <w:sz w:val="18"/>
                <w:szCs w:val="18"/>
              </w:rPr>
            </w:pPr>
            <w:r>
              <w:rPr>
                <w:sz w:val="18"/>
                <w:szCs w:val="18"/>
              </w:rPr>
              <w:t>2028</w:t>
            </w:r>
          </w:p>
        </w:tc>
        <w:tc>
          <w:tcPr>
            <w:tcW w:w="1013" w:type="dxa"/>
            <w:shd w:val="clear" w:color="auto" w:fill="D29F13" w:themeFill="accent4"/>
          </w:tcPr>
          <w:p w14:paraId="59EE501E" w14:textId="61DE9CD0" w:rsidR="00EA1AE0" w:rsidRPr="00FA74B4" w:rsidRDefault="00EA1AE0" w:rsidP="006C239E">
            <w:pPr>
              <w:pStyle w:val="TableHeading"/>
              <w:rPr>
                <w:sz w:val="18"/>
                <w:szCs w:val="18"/>
              </w:rPr>
            </w:pPr>
            <w:r>
              <w:rPr>
                <w:sz w:val="18"/>
                <w:szCs w:val="18"/>
              </w:rPr>
              <w:t>202</w:t>
            </w:r>
            <w:r>
              <w:rPr>
                <w:sz w:val="18"/>
                <w:szCs w:val="18"/>
              </w:rPr>
              <w:t>9</w:t>
            </w:r>
          </w:p>
        </w:tc>
        <w:tc>
          <w:tcPr>
            <w:tcW w:w="0" w:type="auto"/>
            <w:shd w:val="clear" w:color="auto" w:fill="D29F13" w:themeFill="accent4"/>
            <w:vAlign w:val="center"/>
          </w:tcPr>
          <w:p w14:paraId="42005D55" w14:textId="77777777" w:rsidR="00EA1AE0" w:rsidRPr="00FA74B4" w:rsidRDefault="00EA1AE0" w:rsidP="006C239E">
            <w:pPr>
              <w:pStyle w:val="TableHeading"/>
              <w:rPr>
                <w:sz w:val="18"/>
                <w:szCs w:val="18"/>
              </w:rPr>
            </w:pPr>
            <w:r w:rsidRPr="00FA74B4">
              <w:rPr>
                <w:sz w:val="18"/>
                <w:szCs w:val="18"/>
              </w:rPr>
              <w:t>Total</w:t>
            </w:r>
          </w:p>
        </w:tc>
      </w:tr>
      <w:tr w:rsidR="004125EA" w:rsidRPr="003A4DFA" w14:paraId="700FF1B0" w14:textId="77777777" w:rsidTr="004125EA">
        <w:tc>
          <w:tcPr>
            <w:tcW w:w="2790" w:type="dxa"/>
            <w:vAlign w:val="bottom"/>
          </w:tcPr>
          <w:p w14:paraId="36F246D0" w14:textId="77777777" w:rsidR="00EA1AE0" w:rsidRPr="00301770" w:rsidRDefault="00EA1AE0" w:rsidP="00DA32D4">
            <w:pPr>
              <w:pStyle w:val="TableText"/>
              <w:rPr>
                <w:sz w:val="16"/>
                <w:szCs w:val="16"/>
              </w:rPr>
            </w:pPr>
            <w:r w:rsidRPr="00301770">
              <w:rPr>
                <w:sz w:val="16"/>
                <w:szCs w:val="16"/>
              </w:rPr>
              <w:t>NEPA</w:t>
            </w:r>
          </w:p>
        </w:tc>
        <w:tc>
          <w:tcPr>
            <w:tcW w:w="972" w:type="dxa"/>
            <w:vAlign w:val="center"/>
          </w:tcPr>
          <w:p w14:paraId="079372CE" w14:textId="20D4BFC8" w:rsidR="00EA1AE0" w:rsidRPr="00301770" w:rsidRDefault="00CF6CD2" w:rsidP="00490691">
            <w:pPr>
              <w:pStyle w:val="TableText"/>
              <w:jc w:val="center"/>
              <w:rPr>
                <w:color w:val="000000"/>
                <w:sz w:val="16"/>
                <w:szCs w:val="16"/>
              </w:rPr>
            </w:pPr>
            <w:r>
              <w:rPr>
                <w:color w:val="000000"/>
                <w:sz w:val="16"/>
                <w:szCs w:val="16"/>
              </w:rPr>
              <w:t>$942,152</w:t>
            </w:r>
          </w:p>
        </w:tc>
        <w:tc>
          <w:tcPr>
            <w:tcW w:w="818" w:type="dxa"/>
            <w:vAlign w:val="center"/>
          </w:tcPr>
          <w:p w14:paraId="3EA80920" w14:textId="2FE5832C" w:rsidR="00EA1AE0" w:rsidRPr="00301770" w:rsidRDefault="00C453D5" w:rsidP="00490691">
            <w:pPr>
              <w:pStyle w:val="TableText"/>
              <w:jc w:val="center"/>
              <w:rPr>
                <w:color w:val="000000"/>
                <w:sz w:val="16"/>
                <w:szCs w:val="16"/>
              </w:rPr>
            </w:pPr>
            <w:r>
              <w:rPr>
                <w:color w:val="000000"/>
                <w:sz w:val="16"/>
                <w:szCs w:val="16"/>
              </w:rPr>
              <w:t>-</w:t>
            </w:r>
          </w:p>
        </w:tc>
        <w:tc>
          <w:tcPr>
            <w:tcW w:w="933" w:type="dxa"/>
            <w:vAlign w:val="center"/>
          </w:tcPr>
          <w:p w14:paraId="4F72E49E" w14:textId="12E60ED2" w:rsidR="00EA1AE0" w:rsidRPr="00301770" w:rsidRDefault="00C453D5" w:rsidP="00490691">
            <w:pPr>
              <w:pStyle w:val="TableText"/>
              <w:jc w:val="center"/>
              <w:rPr>
                <w:color w:val="000000"/>
                <w:sz w:val="16"/>
                <w:szCs w:val="16"/>
              </w:rPr>
            </w:pPr>
            <w:r>
              <w:rPr>
                <w:color w:val="000000"/>
                <w:sz w:val="16"/>
                <w:szCs w:val="16"/>
              </w:rPr>
              <w:t>-</w:t>
            </w:r>
          </w:p>
        </w:tc>
        <w:tc>
          <w:tcPr>
            <w:tcW w:w="1013" w:type="dxa"/>
            <w:vAlign w:val="center"/>
          </w:tcPr>
          <w:p w14:paraId="05B972FE" w14:textId="1ED34DFB" w:rsidR="00EA1AE0" w:rsidRPr="00301770" w:rsidRDefault="00C453D5" w:rsidP="00490691">
            <w:pPr>
              <w:pStyle w:val="TableText"/>
              <w:jc w:val="center"/>
              <w:rPr>
                <w:color w:val="000000"/>
                <w:sz w:val="16"/>
                <w:szCs w:val="16"/>
              </w:rPr>
            </w:pPr>
            <w:r>
              <w:rPr>
                <w:color w:val="000000"/>
                <w:sz w:val="16"/>
                <w:szCs w:val="16"/>
              </w:rPr>
              <w:t>-</w:t>
            </w:r>
          </w:p>
        </w:tc>
        <w:tc>
          <w:tcPr>
            <w:tcW w:w="1013" w:type="dxa"/>
            <w:vAlign w:val="center"/>
          </w:tcPr>
          <w:p w14:paraId="367D3BD6" w14:textId="2B6358CC" w:rsidR="00EA1AE0" w:rsidRPr="00301770" w:rsidRDefault="00C453D5" w:rsidP="00490691">
            <w:pPr>
              <w:pStyle w:val="TableText"/>
              <w:jc w:val="center"/>
              <w:rPr>
                <w:color w:val="000000"/>
                <w:sz w:val="16"/>
                <w:szCs w:val="16"/>
              </w:rPr>
            </w:pPr>
            <w:r>
              <w:rPr>
                <w:color w:val="000000"/>
                <w:sz w:val="16"/>
                <w:szCs w:val="16"/>
              </w:rPr>
              <w:t>-</w:t>
            </w:r>
          </w:p>
        </w:tc>
        <w:tc>
          <w:tcPr>
            <w:tcW w:w="1013" w:type="dxa"/>
            <w:vAlign w:val="center"/>
          </w:tcPr>
          <w:p w14:paraId="7D6D581B" w14:textId="1D524FF2" w:rsidR="00EA1AE0" w:rsidRPr="00301770" w:rsidRDefault="00C453D5" w:rsidP="00490691">
            <w:pPr>
              <w:pStyle w:val="TableText"/>
              <w:jc w:val="center"/>
              <w:rPr>
                <w:color w:val="000000"/>
                <w:sz w:val="16"/>
                <w:szCs w:val="16"/>
              </w:rPr>
            </w:pPr>
            <w:r>
              <w:rPr>
                <w:color w:val="000000"/>
                <w:sz w:val="16"/>
                <w:szCs w:val="16"/>
              </w:rPr>
              <w:t>-</w:t>
            </w:r>
          </w:p>
        </w:tc>
        <w:tc>
          <w:tcPr>
            <w:tcW w:w="0" w:type="auto"/>
            <w:vAlign w:val="center"/>
          </w:tcPr>
          <w:p w14:paraId="53A8068B" w14:textId="70565F6C" w:rsidR="00EA1AE0" w:rsidRPr="00301770" w:rsidRDefault="00C453D5" w:rsidP="00490691">
            <w:pPr>
              <w:pStyle w:val="TableText"/>
              <w:jc w:val="center"/>
              <w:rPr>
                <w:b/>
                <w:bCs/>
                <w:color w:val="000000"/>
                <w:sz w:val="16"/>
                <w:szCs w:val="16"/>
              </w:rPr>
            </w:pPr>
            <w:r>
              <w:rPr>
                <w:b/>
                <w:bCs/>
                <w:color w:val="000000"/>
                <w:sz w:val="16"/>
                <w:szCs w:val="16"/>
              </w:rPr>
              <w:t>$942,152</w:t>
            </w:r>
          </w:p>
        </w:tc>
      </w:tr>
      <w:tr w:rsidR="004125EA" w:rsidRPr="003A4DFA" w14:paraId="6E2D98DC" w14:textId="77777777" w:rsidTr="004125EA">
        <w:tc>
          <w:tcPr>
            <w:tcW w:w="2790" w:type="dxa"/>
            <w:vAlign w:val="bottom"/>
          </w:tcPr>
          <w:p w14:paraId="2EB7DC0F" w14:textId="77777777" w:rsidR="00EA1AE0" w:rsidRPr="00301770" w:rsidRDefault="00EA1AE0" w:rsidP="00DA32D4">
            <w:pPr>
              <w:pStyle w:val="TableText"/>
              <w:rPr>
                <w:sz w:val="16"/>
                <w:szCs w:val="16"/>
              </w:rPr>
            </w:pPr>
            <w:r w:rsidRPr="00301770">
              <w:rPr>
                <w:sz w:val="16"/>
                <w:szCs w:val="16"/>
              </w:rPr>
              <w:t>ROW</w:t>
            </w:r>
          </w:p>
        </w:tc>
        <w:tc>
          <w:tcPr>
            <w:tcW w:w="972" w:type="dxa"/>
            <w:vAlign w:val="center"/>
          </w:tcPr>
          <w:p w14:paraId="5E81ED4F" w14:textId="76621432" w:rsidR="00EA1AE0" w:rsidRPr="00301770" w:rsidRDefault="00C453D5" w:rsidP="00490691">
            <w:pPr>
              <w:pStyle w:val="TableText"/>
              <w:jc w:val="center"/>
              <w:rPr>
                <w:color w:val="000000"/>
                <w:sz w:val="16"/>
                <w:szCs w:val="16"/>
              </w:rPr>
            </w:pPr>
            <w:r>
              <w:rPr>
                <w:color w:val="000000"/>
                <w:sz w:val="16"/>
                <w:szCs w:val="16"/>
              </w:rPr>
              <w:t>$7,858,657</w:t>
            </w:r>
          </w:p>
        </w:tc>
        <w:tc>
          <w:tcPr>
            <w:tcW w:w="818" w:type="dxa"/>
            <w:vAlign w:val="center"/>
          </w:tcPr>
          <w:p w14:paraId="3979E2F1" w14:textId="00EFDB39" w:rsidR="00EA1AE0" w:rsidRPr="00301770" w:rsidRDefault="00C453D5" w:rsidP="00490691">
            <w:pPr>
              <w:pStyle w:val="TableText"/>
              <w:jc w:val="center"/>
              <w:rPr>
                <w:color w:val="000000"/>
                <w:sz w:val="16"/>
                <w:szCs w:val="16"/>
              </w:rPr>
            </w:pPr>
            <w:r>
              <w:rPr>
                <w:color w:val="000000"/>
                <w:sz w:val="16"/>
                <w:szCs w:val="16"/>
              </w:rPr>
              <w:t>-</w:t>
            </w:r>
          </w:p>
        </w:tc>
        <w:tc>
          <w:tcPr>
            <w:tcW w:w="933" w:type="dxa"/>
            <w:vAlign w:val="center"/>
          </w:tcPr>
          <w:p w14:paraId="1403F8F7" w14:textId="365D18B8" w:rsidR="00EA1AE0" w:rsidRPr="00301770" w:rsidRDefault="00C453D5" w:rsidP="00490691">
            <w:pPr>
              <w:pStyle w:val="TableText"/>
              <w:jc w:val="center"/>
              <w:rPr>
                <w:color w:val="000000"/>
                <w:sz w:val="16"/>
                <w:szCs w:val="16"/>
              </w:rPr>
            </w:pPr>
            <w:r>
              <w:rPr>
                <w:color w:val="000000"/>
                <w:sz w:val="16"/>
                <w:szCs w:val="16"/>
              </w:rPr>
              <w:t>$1,000,000</w:t>
            </w:r>
          </w:p>
        </w:tc>
        <w:tc>
          <w:tcPr>
            <w:tcW w:w="1013" w:type="dxa"/>
            <w:vAlign w:val="center"/>
          </w:tcPr>
          <w:p w14:paraId="7772E528" w14:textId="0E938215" w:rsidR="00EA1AE0" w:rsidRPr="00301770" w:rsidRDefault="00C453D5" w:rsidP="00490691">
            <w:pPr>
              <w:pStyle w:val="TableText"/>
              <w:jc w:val="center"/>
              <w:rPr>
                <w:color w:val="000000"/>
                <w:sz w:val="16"/>
                <w:szCs w:val="16"/>
              </w:rPr>
            </w:pPr>
            <w:r>
              <w:rPr>
                <w:color w:val="000000"/>
                <w:sz w:val="16"/>
                <w:szCs w:val="16"/>
              </w:rPr>
              <w:t>$18,000,000</w:t>
            </w:r>
          </w:p>
        </w:tc>
        <w:tc>
          <w:tcPr>
            <w:tcW w:w="1013" w:type="dxa"/>
            <w:vAlign w:val="center"/>
          </w:tcPr>
          <w:p w14:paraId="0DCE3009" w14:textId="11566429" w:rsidR="00EA1AE0" w:rsidRPr="00301770" w:rsidRDefault="00C453D5" w:rsidP="00490691">
            <w:pPr>
              <w:pStyle w:val="TableText"/>
              <w:jc w:val="center"/>
              <w:rPr>
                <w:color w:val="000000"/>
                <w:sz w:val="16"/>
                <w:szCs w:val="16"/>
              </w:rPr>
            </w:pPr>
            <w:r>
              <w:rPr>
                <w:color w:val="000000"/>
                <w:sz w:val="16"/>
                <w:szCs w:val="16"/>
              </w:rPr>
              <w:t>$14,000,000</w:t>
            </w:r>
          </w:p>
        </w:tc>
        <w:tc>
          <w:tcPr>
            <w:tcW w:w="1013" w:type="dxa"/>
            <w:vAlign w:val="center"/>
          </w:tcPr>
          <w:p w14:paraId="3A159087" w14:textId="3A4D3523" w:rsidR="00EA1AE0" w:rsidRPr="00301770" w:rsidRDefault="00C453D5" w:rsidP="00490691">
            <w:pPr>
              <w:pStyle w:val="TableText"/>
              <w:jc w:val="center"/>
              <w:rPr>
                <w:color w:val="000000"/>
                <w:sz w:val="16"/>
                <w:szCs w:val="16"/>
              </w:rPr>
            </w:pPr>
            <w:r>
              <w:rPr>
                <w:color w:val="000000"/>
                <w:sz w:val="16"/>
                <w:szCs w:val="16"/>
              </w:rPr>
              <w:t>-</w:t>
            </w:r>
          </w:p>
        </w:tc>
        <w:tc>
          <w:tcPr>
            <w:tcW w:w="0" w:type="auto"/>
            <w:vAlign w:val="center"/>
          </w:tcPr>
          <w:p w14:paraId="53EAB4F9" w14:textId="63BF7F8E" w:rsidR="00EA1AE0" w:rsidRPr="00301770" w:rsidRDefault="00C453D5" w:rsidP="00490691">
            <w:pPr>
              <w:pStyle w:val="TableText"/>
              <w:jc w:val="center"/>
              <w:rPr>
                <w:b/>
                <w:bCs/>
                <w:color w:val="000000"/>
                <w:sz w:val="16"/>
                <w:szCs w:val="16"/>
              </w:rPr>
            </w:pPr>
            <w:r>
              <w:rPr>
                <w:b/>
                <w:bCs/>
                <w:color w:val="000000"/>
                <w:sz w:val="16"/>
                <w:szCs w:val="16"/>
              </w:rPr>
              <w:t>$40,858,675</w:t>
            </w:r>
          </w:p>
        </w:tc>
      </w:tr>
      <w:tr w:rsidR="004125EA" w:rsidRPr="003A4DFA" w14:paraId="4C29B7AC" w14:textId="77777777" w:rsidTr="004125EA">
        <w:tc>
          <w:tcPr>
            <w:tcW w:w="2790" w:type="dxa"/>
            <w:vAlign w:val="bottom"/>
          </w:tcPr>
          <w:p w14:paraId="664E190B" w14:textId="77777777" w:rsidR="00EA1AE0" w:rsidRPr="00301770" w:rsidRDefault="00EA1AE0" w:rsidP="00DA32D4">
            <w:pPr>
              <w:pStyle w:val="TableText"/>
              <w:rPr>
                <w:sz w:val="16"/>
                <w:szCs w:val="16"/>
              </w:rPr>
            </w:pPr>
            <w:r w:rsidRPr="00301770">
              <w:rPr>
                <w:sz w:val="16"/>
                <w:szCs w:val="16"/>
              </w:rPr>
              <w:t>Conceptual Design &amp; Preliminary Engineering</w:t>
            </w:r>
          </w:p>
        </w:tc>
        <w:tc>
          <w:tcPr>
            <w:tcW w:w="972" w:type="dxa"/>
            <w:vAlign w:val="center"/>
          </w:tcPr>
          <w:p w14:paraId="5D23B534" w14:textId="2FDEAA59" w:rsidR="00EA1AE0" w:rsidRPr="00301770" w:rsidRDefault="00C453D5" w:rsidP="00490691">
            <w:pPr>
              <w:pStyle w:val="TableText"/>
              <w:jc w:val="center"/>
              <w:rPr>
                <w:color w:val="000000"/>
                <w:sz w:val="16"/>
                <w:szCs w:val="16"/>
              </w:rPr>
            </w:pPr>
            <w:r>
              <w:rPr>
                <w:color w:val="000000"/>
                <w:sz w:val="16"/>
                <w:szCs w:val="16"/>
              </w:rPr>
              <w:t>$</w:t>
            </w:r>
            <w:r w:rsidR="00C35A47">
              <w:rPr>
                <w:color w:val="000000"/>
                <w:sz w:val="16"/>
                <w:szCs w:val="16"/>
              </w:rPr>
              <w:t>1,737,642</w:t>
            </w:r>
          </w:p>
        </w:tc>
        <w:tc>
          <w:tcPr>
            <w:tcW w:w="818" w:type="dxa"/>
            <w:vAlign w:val="center"/>
          </w:tcPr>
          <w:p w14:paraId="3DEB6F8C" w14:textId="5837E8DB" w:rsidR="00EA1AE0" w:rsidRPr="00301770" w:rsidRDefault="00C35A47" w:rsidP="00490691">
            <w:pPr>
              <w:pStyle w:val="TableText"/>
              <w:jc w:val="center"/>
              <w:rPr>
                <w:color w:val="000000"/>
                <w:sz w:val="16"/>
                <w:szCs w:val="16"/>
              </w:rPr>
            </w:pPr>
            <w:r>
              <w:rPr>
                <w:color w:val="000000"/>
                <w:sz w:val="16"/>
                <w:szCs w:val="16"/>
              </w:rPr>
              <w:t>$587,760</w:t>
            </w:r>
          </w:p>
        </w:tc>
        <w:tc>
          <w:tcPr>
            <w:tcW w:w="933" w:type="dxa"/>
            <w:vAlign w:val="center"/>
          </w:tcPr>
          <w:p w14:paraId="0C2317AB" w14:textId="1F6E6355" w:rsidR="00EA1AE0" w:rsidRPr="00301770" w:rsidRDefault="00C35A47" w:rsidP="00490691">
            <w:pPr>
              <w:pStyle w:val="TableText"/>
              <w:jc w:val="center"/>
              <w:rPr>
                <w:color w:val="000000"/>
                <w:sz w:val="16"/>
                <w:szCs w:val="16"/>
              </w:rPr>
            </w:pPr>
            <w:r>
              <w:rPr>
                <w:color w:val="000000"/>
                <w:sz w:val="16"/>
                <w:szCs w:val="16"/>
              </w:rPr>
              <w:t>$2,769,274</w:t>
            </w:r>
          </w:p>
        </w:tc>
        <w:tc>
          <w:tcPr>
            <w:tcW w:w="1013" w:type="dxa"/>
            <w:vAlign w:val="center"/>
          </w:tcPr>
          <w:p w14:paraId="394FAB60" w14:textId="5B7D1DC4" w:rsidR="00EA1AE0" w:rsidRPr="00301770" w:rsidRDefault="00C35A47" w:rsidP="00490691">
            <w:pPr>
              <w:pStyle w:val="TableText"/>
              <w:jc w:val="center"/>
              <w:rPr>
                <w:color w:val="000000"/>
                <w:sz w:val="16"/>
                <w:szCs w:val="16"/>
              </w:rPr>
            </w:pPr>
            <w:r>
              <w:rPr>
                <w:color w:val="000000"/>
                <w:sz w:val="16"/>
                <w:szCs w:val="16"/>
              </w:rPr>
              <w:t>-</w:t>
            </w:r>
          </w:p>
        </w:tc>
        <w:tc>
          <w:tcPr>
            <w:tcW w:w="1013" w:type="dxa"/>
            <w:vAlign w:val="center"/>
          </w:tcPr>
          <w:p w14:paraId="406E5AD1" w14:textId="69EBBCDF" w:rsidR="00EA1AE0" w:rsidRPr="00301770" w:rsidRDefault="00C35A47" w:rsidP="00490691">
            <w:pPr>
              <w:pStyle w:val="TableText"/>
              <w:jc w:val="center"/>
              <w:rPr>
                <w:color w:val="000000"/>
                <w:sz w:val="16"/>
                <w:szCs w:val="16"/>
              </w:rPr>
            </w:pPr>
            <w:r>
              <w:rPr>
                <w:color w:val="000000"/>
                <w:sz w:val="16"/>
                <w:szCs w:val="16"/>
              </w:rPr>
              <w:t>-</w:t>
            </w:r>
          </w:p>
        </w:tc>
        <w:tc>
          <w:tcPr>
            <w:tcW w:w="1013" w:type="dxa"/>
            <w:vAlign w:val="center"/>
          </w:tcPr>
          <w:p w14:paraId="649ECEB4" w14:textId="441BC6F5" w:rsidR="00EA1AE0" w:rsidRPr="00301770" w:rsidRDefault="009D0057" w:rsidP="00490691">
            <w:pPr>
              <w:pStyle w:val="TableText"/>
              <w:jc w:val="center"/>
              <w:rPr>
                <w:color w:val="000000"/>
                <w:sz w:val="16"/>
                <w:szCs w:val="16"/>
              </w:rPr>
            </w:pPr>
            <w:r>
              <w:rPr>
                <w:color w:val="000000"/>
                <w:sz w:val="16"/>
                <w:szCs w:val="16"/>
              </w:rPr>
              <w:t>-</w:t>
            </w:r>
          </w:p>
        </w:tc>
        <w:tc>
          <w:tcPr>
            <w:tcW w:w="0" w:type="auto"/>
            <w:vAlign w:val="center"/>
          </w:tcPr>
          <w:p w14:paraId="543D3BBE" w14:textId="5C124AD1" w:rsidR="00EA1AE0" w:rsidRPr="00301770" w:rsidRDefault="009D0057" w:rsidP="00490691">
            <w:pPr>
              <w:pStyle w:val="TableText"/>
              <w:jc w:val="center"/>
              <w:rPr>
                <w:b/>
                <w:bCs/>
                <w:color w:val="000000"/>
                <w:sz w:val="16"/>
                <w:szCs w:val="16"/>
              </w:rPr>
            </w:pPr>
            <w:r>
              <w:rPr>
                <w:b/>
                <w:bCs/>
                <w:color w:val="000000"/>
                <w:sz w:val="16"/>
                <w:szCs w:val="16"/>
              </w:rPr>
              <w:t>$5,094,676</w:t>
            </w:r>
          </w:p>
        </w:tc>
      </w:tr>
      <w:tr w:rsidR="004125EA" w:rsidRPr="003A4DFA" w14:paraId="2DF984AB" w14:textId="77777777" w:rsidTr="004125EA">
        <w:tc>
          <w:tcPr>
            <w:tcW w:w="2790" w:type="dxa"/>
            <w:vAlign w:val="bottom"/>
          </w:tcPr>
          <w:p w14:paraId="77781E8B" w14:textId="77777777" w:rsidR="00EA1AE0" w:rsidRPr="00301770" w:rsidRDefault="00EA1AE0" w:rsidP="00DA32D4">
            <w:pPr>
              <w:pStyle w:val="TableText"/>
              <w:rPr>
                <w:sz w:val="16"/>
                <w:szCs w:val="16"/>
              </w:rPr>
            </w:pPr>
            <w:r w:rsidRPr="00301770">
              <w:rPr>
                <w:sz w:val="16"/>
                <w:szCs w:val="16"/>
              </w:rPr>
              <w:t>Final Design &amp; Construction Engineering</w:t>
            </w:r>
          </w:p>
        </w:tc>
        <w:tc>
          <w:tcPr>
            <w:tcW w:w="972" w:type="dxa"/>
            <w:vAlign w:val="center"/>
          </w:tcPr>
          <w:p w14:paraId="5638AB43" w14:textId="44CD2119" w:rsidR="00EA1AE0" w:rsidRPr="00301770" w:rsidRDefault="009D0057" w:rsidP="00490691">
            <w:pPr>
              <w:pStyle w:val="TableText"/>
              <w:jc w:val="center"/>
              <w:rPr>
                <w:color w:val="000000"/>
                <w:sz w:val="16"/>
                <w:szCs w:val="16"/>
              </w:rPr>
            </w:pPr>
            <w:r>
              <w:rPr>
                <w:color w:val="000000"/>
                <w:sz w:val="16"/>
                <w:szCs w:val="16"/>
              </w:rPr>
              <w:t>-</w:t>
            </w:r>
          </w:p>
        </w:tc>
        <w:tc>
          <w:tcPr>
            <w:tcW w:w="818" w:type="dxa"/>
            <w:vAlign w:val="center"/>
          </w:tcPr>
          <w:p w14:paraId="570F116A" w14:textId="0C7B8883" w:rsidR="00EA1AE0" w:rsidRPr="00301770" w:rsidRDefault="009D0057" w:rsidP="00490691">
            <w:pPr>
              <w:pStyle w:val="TableText"/>
              <w:jc w:val="center"/>
              <w:rPr>
                <w:color w:val="000000"/>
                <w:sz w:val="16"/>
                <w:szCs w:val="16"/>
              </w:rPr>
            </w:pPr>
            <w:r>
              <w:rPr>
                <w:color w:val="000000"/>
                <w:sz w:val="16"/>
                <w:szCs w:val="16"/>
              </w:rPr>
              <w:t>-</w:t>
            </w:r>
          </w:p>
        </w:tc>
        <w:tc>
          <w:tcPr>
            <w:tcW w:w="933" w:type="dxa"/>
            <w:vAlign w:val="center"/>
          </w:tcPr>
          <w:p w14:paraId="781BF4CF" w14:textId="4FBFA641" w:rsidR="00EA1AE0" w:rsidRPr="00301770" w:rsidRDefault="009D0057" w:rsidP="00490691">
            <w:pPr>
              <w:pStyle w:val="TableText"/>
              <w:jc w:val="center"/>
              <w:rPr>
                <w:color w:val="000000"/>
                <w:sz w:val="16"/>
                <w:szCs w:val="16"/>
              </w:rPr>
            </w:pPr>
            <w:r>
              <w:rPr>
                <w:color w:val="000000"/>
                <w:sz w:val="16"/>
                <w:szCs w:val="16"/>
              </w:rPr>
              <w:t>$937,140</w:t>
            </w:r>
          </w:p>
        </w:tc>
        <w:tc>
          <w:tcPr>
            <w:tcW w:w="1013" w:type="dxa"/>
            <w:vAlign w:val="center"/>
          </w:tcPr>
          <w:p w14:paraId="638B9937" w14:textId="224694E3" w:rsidR="00EA1AE0" w:rsidRPr="00301770" w:rsidRDefault="009D0057" w:rsidP="00490691">
            <w:pPr>
              <w:pStyle w:val="TableText"/>
              <w:jc w:val="center"/>
              <w:rPr>
                <w:color w:val="000000"/>
                <w:sz w:val="16"/>
                <w:szCs w:val="16"/>
              </w:rPr>
            </w:pPr>
            <w:r>
              <w:rPr>
                <w:color w:val="000000"/>
                <w:sz w:val="16"/>
                <w:szCs w:val="16"/>
              </w:rPr>
              <w:t>$1,937,140</w:t>
            </w:r>
          </w:p>
        </w:tc>
        <w:tc>
          <w:tcPr>
            <w:tcW w:w="1013" w:type="dxa"/>
            <w:vAlign w:val="center"/>
          </w:tcPr>
          <w:p w14:paraId="7D81C218" w14:textId="1BAF3D9E" w:rsidR="00EA1AE0" w:rsidRPr="00301770" w:rsidRDefault="009D0057" w:rsidP="00490691">
            <w:pPr>
              <w:pStyle w:val="TableText"/>
              <w:jc w:val="center"/>
              <w:rPr>
                <w:color w:val="000000"/>
                <w:sz w:val="16"/>
                <w:szCs w:val="16"/>
              </w:rPr>
            </w:pPr>
            <w:r>
              <w:rPr>
                <w:color w:val="000000"/>
                <w:sz w:val="16"/>
                <w:szCs w:val="16"/>
              </w:rPr>
              <w:t>$3,010,339</w:t>
            </w:r>
          </w:p>
        </w:tc>
        <w:tc>
          <w:tcPr>
            <w:tcW w:w="1013" w:type="dxa"/>
            <w:vAlign w:val="center"/>
          </w:tcPr>
          <w:p w14:paraId="7600213B" w14:textId="07572360" w:rsidR="00EA1AE0" w:rsidRPr="00301770" w:rsidRDefault="009D0057" w:rsidP="00490691">
            <w:pPr>
              <w:pStyle w:val="TableText"/>
              <w:jc w:val="center"/>
              <w:rPr>
                <w:color w:val="000000"/>
                <w:sz w:val="16"/>
                <w:szCs w:val="16"/>
              </w:rPr>
            </w:pPr>
            <w:r>
              <w:rPr>
                <w:color w:val="000000"/>
                <w:sz w:val="16"/>
                <w:szCs w:val="16"/>
              </w:rPr>
              <w:t>$3,010,339</w:t>
            </w:r>
          </w:p>
        </w:tc>
        <w:tc>
          <w:tcPr>
            <w:tcW w:w="0" w:type="auto"/>
            <w:vAlign w:val="center"/>
          </w:tcPr>
          <w:p w14:paraId="0A7E651B" w14:textId="701D6CCC" w:rsidR="00EA1AE0" w:rsidRPr="00301770" w:rsidRDefault="009D0057" w:rsidP="00490691">
            <w:pPr>
              <w:pStyle w:val="TableText"/>
              <w:jc w:val="center"/>
              <w:rPr>
                <w:b/>
                <w:bCs/>
                <w:color w:val="000000"/>
                <w:sz w:val="16"/>
                <w:szCs w:val="16"/>
              </w:rPr>
            </w:pPr>
            <w:r>
              <w:rPr>
                <w:b/>
                <w:bCs/>
                <w:color w:val="000000"/>
                <w:sz w:val="16"/>
                <w:szCs w:val="16"/>
              </w:rPr>
              <w:t>$8,894,958</w:t>
            </w:r>
          </w:p>
        </w:tc>
      </w:tr>
      <w:tr w:rsidR="004125EA" w:rsidRPr="003A4DFA" w14:paraId="7E6E3572" w14:textId="77777777" w:rsidTr="004125EA">
        <w:tc>
          <w:tcPr>
            <w:tcW w:w="2790" w:type="dxa"/>
            <w:tcBorders>
              <w:bottom w:val="single" w:sz="4" w:space="0" w:color="425563"/>
            </w:tcBorders>
            <w:vAlign w:val="bottom"/>
          </w:tcPr>
          <w:p w14:paraId="58634F03" w14:textId="77777777" w:rsidR="00EA1AE0" w:rsidRPr="00301770" w:rsidRDefault="00EA1AE0" w:rsidP="00DA32D4">
            <w:pPr>
              <w:pStyle w:val="TableText"/>
              <w:rPr>
                <w:sz w:val="16"/>
                <w:szCs w:val="16"/>
              </w:rPr>
            </w:pPr>
            <w:r w:rsidRPr="00301770">
              <w:rPr>
                <w:sz w:val="16"/>
                <w:szCs w:val="16"/>
              </w:rPr>
              <w:t>Construction</w:t>
            </w:r>
          </w:p>
        </w:tc>
        <w:tc>
          <w:tcPr>
            <w:tcW w:w="972" w:type="dxa"/>
            <w:tcBorders>
              <w:bottom w:val="single" w:sz="4" w:space="0" w:color="425563"/>
            </w:tcBorders>
            <w:vAlign w:val="center"/>
          </w:tcPr>
          <w:p w14:paraId="74DB1D73" w14:textId="33E3BBA8" w:rsidR="00EA1AE0" w:rsidRPr="00301770" w:rsidRDefault="009D0057" w:rsidP="00490691">
            <w:pPr>
              <w:pStyle w:val="TableText"/>
              <w:jc w:val="center"/>
              <w:rPr>
                <w:sz w:val="16"/>
                <w:szCs w:val="16"/>
              </w:rPr>
            </w:pPr>
            <w:r>
              <w:rPr>
                <w:sz w:val="16"/>
                <w:szCs w:val="16"/>
              </w:rPr>
              <w:t>-</w:t>
            </w:r>
          </w:p>
        </w:tc>
        <w:tc>
          <w:tcPr>
            <w:tcW w:w="818" w:type="dxa"/>
            <w:tcBorders>
              <w:bottom w:val="single" w:sz="4" w:space="0" w:color="425563"/>
            </w:tcBorders>
            <w:vAlign w:val="center"/>
          </w:tcPr>
          <w:p w14:paraId="1505AC2E" w14:textId="42A2E516" w:rsidR="00EA1AE0" w:rsidRPr="00301770" w:rsidRDefault="009D0057" w:rsidP="00490691">
            <w:pPr>
              <w:pStyle w:val="TableText"/>
              <w:jc w:val="center"/>
              <w:rPr>
                <w:sz w:val="16"/>
                <w:szCs w:val="16"/>
              </w:rPr>
            </w:pPr>
            <w:r>
              <w:rPr>
                <w:sz w:val="16"/>
                <w:szCs w:val="16"/>
              </w:rPr>
              <w:t>-</w:t>
            </w:r>
          </w:p>
        </w:tc>
        <w:tc>
          <w:tcPr>
            <w:tcW w:w="933" w:type="dxa"/>
            <w:tcBorders>
              <w:bottom w:val="single" w:sz="4" w:space="0" w:color="425563"/>
            </w:tcBorders>
            <w:vAlign w:val="center"/>
          </w:tcPr>
          <w:p w14:paraId="15AB2DAA" w14:textId="7E3B5AA6" w:rsidR="00EA1AE0" w:rsidRPr="00301770" w:rsidRDefault="009D0057" w:rsidP="00490691">
            <w:pPr>
              <w:pStyle w:val="TableText"/>
              <w:jc w:val="center"/>
              <w:rPr>
                <w:sz w:val="16"/>
                <w:szCs w:val="16"/>
              </w:rPr>
            </w:pPr>
            <w:r>
              <w:rPr>
                <w:sz w:val="16"/>
                <w:szCs w:val="16"/>
              </w:rPr>
              <w:t>-</w:t>
            </w:r>
          </w:p>
        </w:tc>
        <w:tc>
          <w:tcPr>
            <w:tcW w:w="1013" w:type="dxa"/>
            <w:tcBorders>
              <w:bottom w:val="single" w:sz="4" w:space="0" w:color="425563"/>
            </w:tcBorders>
            <w:vAlign w:val="center"/>
          </w:tcPr>
          <w:p w14:paraId="63039B23" w14:textId="2F75B850" w:rsidR="00EA1AE0" w:rsidRPr="00301770" w:rsidRDefault="009D0057" w:rsidP="00490691">
            <w:pPr>
              <w:pStyle w:val="TableText"/>
              <w:jc w:val="center"/>
              <w:rPr>
                <w:sz w:val="16"/>
                <w:szCs w:val="16"/>
              </w:rPr>
            </w:pPr>
            <w:r>
              <w:rPr>
                <w:sz w:val="16"/>
                <w:szCs w:val="16"/>
              </w:rPr>
              <w:t>$5,000,000</w:t>
            </w:r>
          </w:p>
        </w:tc>
        <w:tc>
          <w:tcPr>
            <w:tcW w:w="1013" w:type="dxa"/>
            <w:tcBorders>
              <w:bottom w:val="single" w:sz="4" w:space="0" w:color="425563"/>
            </w:tcBorders>
            <w:vAlign w:val="center"/>
          </w:tcPr>
          <w:p w14:paraId="1C637964" w14:textId="1E12D5B7" w:rsidR="00EA1AE0" w:rsidRPr="00301770" w:rsidRDefault="009D0057" w:rsidP="00490691">
            <w:pPr>
              <w:pStyle w:val="TableText"/>
              <w:jc w:val="center"/>
              <w:rPr>
                <w:sz w:val="16"/>
                <w:szCs w:val="16"/>
              </w:rPr>
            </w:pPr>
            <w:r>
              <w:rPr>
                <w:sz w:val="16"/>
                <w:szCs w:val="16"/>
              </w:rPr>
              <w:t>$</w:t>
            </w:r>
            <w:r w:rsidR="004125EA">
              <w:rPr>
                <w:sz w:val="16"/>
                <w:szCs w:val="16"/>
              </w:rPr>
              <w:t>47,647,701</w:t>
            </w:r>
          </w:p>
        </w:tc>
        <w:tc>
          <w:tcPr>
            <w:tcW w:w="1013" w:type="dxa"/>
            <w:tcBorders>
              <w:bottom w:val="single" w:sz="4" w:space="0" w:color="425563"/>
            </w:tcBorders>
            <w:vAlign w:val="center"/>
          </w:tcPr>
          <w:p w14:paraId="2F34A57B" w14:textId="15FEEC7B" w:rsidR="00EA1AE0" w:rsidRPr="00301770" w:rsidRDefault="004125EA" w:rsidP="00490691">
            <w:pPr>
              <w:pStyle w:val="TableText"/>
              <w:jc w:val="center"/>
              <w:rPr>
                <w:sz w:val="16"/>
                <w:szCs w:val="16"/>
              </w:rPr>
            </w:pPr>
            <w:r>
              <w:rPr>
                <w:sz w:val="16"/>
                <w:szCs w:val="16"/>
              </w:rPr>
              <w:t>$47,647,701</w:t>
            </w:r>
          </w:p>
        </w:tc>
        <w:tc>
          <w:tcPr>
            <w:tcW w:w="0" w:type="auto"/>
            <w:tcBorders>
              <w:bottom w:val="single" w:sz="4" w:space="0" w:color="425563"/>
            </w:tcBorders>
            <w:vAlign w:val="center"/>
          </w:tcPr>
          <w:p w14:paraId="2001C1A2" w14:textId="6ED79B03" w:rsidR="00EA1AE0" w:rsidRPr="00301770" w:rsidRDefault="004125EA" w:rsidP="00490691">
            <w:pPr>
              <w:pStyle w:val="TableText"/>
              <w:jc w:val="center"/>
              <w:rPr>
                <w:b/>
                <w:bCs/>
                <w:sz w:val="16"/>
                <w:szCs w:val="16"/>
              </w:rPr>
            </w:pPr>
            <w:r>
              <w:rPr>
                <w:b/>
                <w:bCs/>
                <w:sz w:val="16"/>
                <w:szCs w:val="16"/>
              </w:rPr>
              <w:t>$</w:t>
            </w:r>
            <w:r w:rsidR="007F3DD4">
              <w:rPr>
                <w:b/>
                <w:bCs/>
                <w:sz w:val="16"/>
                <w:szCs w:val="16"/>
              </w:rPr>
              <w:t>100,295,401</w:t>
            </w:r>
          </w:p>
        </w:tc>
      </w:tr>
      <w:tr w:rsidR="004125EA" w:rsidRPr="00301770" w14:paraId="2F903EF0" w14:textId="77777777" w:rsidTr="004125EA">
        <w:tc>
          <w:tcPr>
            <w:tcW w:w="2790" w:type="dxa"/>
            <w:tcBorders>
              <w:bottom w:val="single" w:sz="12" w:space="0" w:color="D29F13" w:themeColor="accent4"/>
            </w:tcBorders>
            <w:vAlign w:val="bottom"/>
          </w:tcPr>
          <w:p w14:paraId="65054F32" w14:textId="77777777" w:rsidR="00EA1AE0" w:rsidRPr="00301770" w:rsidRDefault="00EA1AE0" w:rsidP="00301770">
            <w:pPr>
              <w:pStyle w:val="TableText"/>
              <w:rPr>
                <w:b/>
                <w:bCs/>
                <w:sz w:val="16"/>
                <w:szCs w:val="16"/>
              </w:rPr>
            </w:pPr>
            <w:r w:rsidRPr="00301770">
              <w:rPr>
                <w:b/>
                <w:bCs/>
                <w:sz w:val="16"/>
                <w:szCs w:val="16"/>
              </w:rPr>
              <w:t>Total</w:t>
            </w:r>
          </w:p>
        </w:tc>
        <w:tc>
          <w:tcPr>
            <w:tcW w:w="972" w:type="dxa"/>
            <w:tcBorders>
              <w:bottom w:val="single" w:sz="12" w:space="0" w:color="D29F13" w:themeColor="accent4"/>
            </w:tcBorders>
            <w:vAlign w:val="center"/>
          </w:tcPr>
          <w:p w14:paraId="17BC29E0" w14:textId="45A74DEE" w:rsidR="00EA1AE0" w:rsidRPr="00301770" w:rsidRDefault="007F3DD4" w:rsidP="00490691">
            <w:pPr>
              <w:pStyle w:val="TableText"/>
              <w:jc w:val="center"/>
              <w:rPr>
                <w:b/>
                <w:bCs/>
                <w:sz w:val="16"/>
                <w:szCs w:val="16"/>
              </w:rPr>
            </w:pPr>
            <w:r>
              <w:rPr>
                <w:b/>
                <w:bCs/>
                <w:sz w:val="16"/>
                <w:szCs w:val="16"/>
              </w:rPr>
              <w:t>$10,538,451</w:t>
            </w:r>
          </w:p>
        </w:tc>
        <w:tc>
          <w:tcPr>
            <w:tcW w:w="818" w:type="dxa"/>
            <w:tcBorders>
              <w:bottom w:val="single" w:sz="12" w:space="0" w:color="D29F13" w:themeColor="accent4"/>
            </w:tcBorders>
            <w:vAlign w:val="center"/>
          </w:tcPr>
          <w:p w14:paraId="289F41C1" w14:textId="5CB2B52E" w:rsidR="00EA1AE0" w:rsidRPr="00301770" w:rsidRDefault="007F3DD4" w:rsidP="00490691">
            <w:pPr>
              <w:pStyle w:val="TableText"/>
              <w:jc w:val="center"/>
              <w:rPr>
                <w:b/>
                <w:bCs/>
                <w:sz w:val="16"/>
                <w:szCs w:val="16"/>
              </w:rPr>
            </w:pPr>
            <w:r>
              <w:rPr>
                <w:b/>
                <w:bCs/>
                <w:sz w:val="16"/>
                <w:szCs w:val="16"/>
              </w:rPr>
              <w:t>$587,760</w:t>
            </w:r>
          </w:p>
        </w:tc>
        <w:tc>
          <w:tcPr>
            <w:tcW w:w="933" w:type="dxa"/>
            <w:tcBorders>
              <w:bottom w:val="single" w:sz="12" w:space="0" w:color="D29F13" w:themeColor="accent4"/>
            </w:tcBorders>
            <w:vAlign w:val="center"/>
          </w:tcPr>
          <w:p w14:paraId="00AA589E" w14:textId="354D93DB" w:rsidR="00EA1AE0" w:rsidRPr="00301770" w:rsidRDefault="007F3DD4" w:rsidP="00490691">
            <w:pPr>
              <w:pStyle w:val="TableText"/>
              <w:jc w:val="center"/>
              <w:rPr>
                <w:b/>
                <w:bCs/>
                <w:sz w:val="16"/>
                <w:szCs w:val="16"/>
              </w:rPr>
            </w:pPr>
            <w:r>
              <w:rPr>
                <w:b/>
                <w:bCs/>
                <w:sz w:val="16"/>
                <w:szCs w:val="16"/>
              </w:rPr>
              <w:t>$4,706,414</w:t>
            </w:r>
          </w:p>
        </w:tc>
        <w:tc>
          <w:tcPr>
            <w:tcW w:w="1013" w:type="dxa"/>
            <w:tcBorders>
              <w:bottom w:val="single" w:sz="12" w:space="0" w:color="D29F13" w:themeColor="accent4"/>
            </w:tcBorders>
            <w:vAlign w:val="center"/>
          </w:tcPr>
          <w:p w14:paraId="22164E29" w14:textId="2DA687A9" w:rsidR="00EA1AE0" w:rsidRPr="00301770" w:rsidRDefault="007F3DD4" w:rsidP="00490691">
            <w:pPr>
              <w:pStyle w:val="TableText"/>
              <w:jc w:val="center"/>
              <w:rPr>
                <w:b/>
                <w:bCs/>
                <w:sz w:val="16"/>
                <w:szCs w:val="16"/>
              </w:rPr>
            </w:pPr>
            <w:r>
              <w:rPr>
                <w:b/>
                <w:bCs/>
                <w:sz w:val="16"/>
                <w:szCs w:val="16"/>
              </w:rPr>
              <w:t>$24,937,140</w:t>
            </w:r>
          </w:p>
        </w:tc>
        <w:tc>
          <w:tcPr>
            <w:tcW w:w="1013" w:type="dxa"/>
            <w:tcBorders>
              <w:bottom w:val="single" w:sz="12" w:space="0" w:color="D29F13" w:themeColor="accent4"/>
            </w:tcBorders>
            <w:vAlign w:val="center"/>
          </w:tcPr>
          <w:p w14:paraId="4CC14D8B" w14:textId="3661D23F" w:rsidR="00EA1AE0" w:rsidRPr="00301770" w:rsidRDefault="007F3DD4" w:rsidP="00490691">
            <w:pPr>
              <w:pStyle w:val="TableText"/>
              <w:jc w:val="center"/>
              <w:rPr>
                <w:b/>
                <w:bCs/>
                <w:sz w:val="16"/>
                <w:szCs w:val="16"/>
              </w:rPr>
            </w:pPr>
            <w:r>
              <w:rPr>
                <w:b/>
                <w:bCs/>
                <w:sz w:val="16"/>
                <w:szCs w:val="16"/>
              </w:rPr>
              <w:t>$64,658,040</w:t>
            </w:r>
          </w:p>
        </w:tc>
        <w:tc>
          <w:tcPr>
            <w:tcW w:w="1013" w:type="dxa"/>
            <w:tcBorders>
              <w:bottom w:val="single" w:sz="12" w:space="0" w:color="D29F13" w:themeColor="accent4"/>
            </w:tcBorders>
            <w:vAlign w:val="center"/>
          </w:tcPr>
          <w:p w14:paraId="2EC899E3" w14:textId="786FB3EB" w:rsidR="00EA1AE0" w:rsidRPr="00301770" w:rsidRDefault="007F3DD4" w:rsidP="00490691">
            <w:pPr>
              <w:pStyle w:val="TableText"/>
              <w:jc w:val="center"/>
              <w:rPr>
                <w:b/>
                <w:bCs/>
                <w:sz w:val="16"/>
                <w:szCs w:val="16"/>
              </w:rPr>
            </w:pPr>
            <w:r>
              <w:rPr>
                <w:b/>
                <w:bCs/>
                <w:sz w:val="16"/>
                <w:szCs w:val="16"/>
              </w:rPr>
              <w:t>$50,658,040</w:t>
            </w:r>
          </w:p>
        </w:tc>
        <w:tc>
          <w:tcPr>
            <w:tcW w:w="0" w:type="auto"/>
            <w:tcBorders>
              <w:bottom w:val="single" w:sz="12" w:space="0" w:color="D29F13" w:themeColor="accent4"/>
            </w:tcBorders>
            <w:vAlign w:val="center"/>
          </w:tcPr>
          <w:p w14:paraId="69B3BE16" w14:textId="6CB06AD9" w:rsidR="00EA1AE0" w:rsidRPr="00301770" w:rsidRDefault="007F3DD4" w:rsidP="00490691">
            <w:pPr>
              <w:pStyle w:val="TableText"/>
              <w:jc w:val="center"/>
              <w:rPr>
                <w:b/>
                <w:bCs/>
                <w:sz w:val="16"/>
                <w:szCs w:val="16"/>
              </w:rPr>
            </w:pPr>
            <w:r>
              <w:rPr>
                <w:b/>
                <w:bCs/>
                <w:sz w:val="16"/>
                <w:szCs w:val="16"/>
              </w:rPr>
              <w:t>$156,085,844</w:t>
            </w:r>
          </w:p>
        </w:tc>
      </w:tr>
    </w:tbl>
    <w:p w14:paraId="5371B23B" w14:textId="753B29C5" w:rsidR="00484D3E" w:rsidRDefault="00484D3E" w:rsidP="00484D3E">
      <w:r>
        <w:t xml:space="preserve">As reflected in </w:t>
      </w:r>
      <w:r w:rsidR="00501011">
        <w:rPr>
          <w:b/>
          <w:bCs/>
        </w:rPr>
        <w:fldChar w:fldCharType="begin"/>
      </w:r>
      <w:r w:rsidR="00501011">
        <w:instrText xml:space="preserve"> REF _Ref158879681 \h </w:instrText>
      </w:r>
      <w:r w:rsidR="00501011">
        <w:rPr>
          <w:b/>
          <w:bCs/>
        </w:rPr>
      </w:r>
      <w:r w:rsidR="00501011">
        <w:rPr>
          <w:b/>
          <w:bCs/>
        </w:rPr>
        <w:fldChar w:fldCharType="separate"/>
      </w:r>
      <w:r w:rsidR="00501011">
        <w:t xml:space="preserve">Table </w:t>
      </w:r>
      <w:r w:rsidR="00501011">
        <w:rPr>
          <w:noProof/>
        </w:rPr>
        <w:t>6</w:t>
      </w:r>
      <w:r w:rsidR="00501011">
        <w:rPr>
          <w:b/>
          <w:bCs/>
        </w:rPr>
        <w:fldChar w:fldCharType="end"/>
      </w:r>
      <w:r>
        <w:t xml:space="preserve">, the BCA has assumed that costs are incurred with an associated calendar year. </w:t>
      </w:r>
      <w:r w:rsidRPr="005541F8">
        <w:t>Final Design and construction costs have been allocated over calendar years 202</w:t>
      </w:r>
      <w:r w:rsidR="007F3DD4">
        <w:t>7</w:t>
      </w:r>
      <w:r w:rsidR="00C16E0D">
        <w:t xml:space="preserve"> to</w:t>
      </w:r>
      <w:r w:rsidRPr="005541F8">
        <w:t xml:space="preserve"> 202</w:t>
      </w:r>
      <w:r w:rsidR="007F3DD4">
        <w:t>9</w:t>
      </w:r>
      <w:r w:rsidRPr="005541F8">
        <w:t>.</w:t>
      </w:r>
      <w:r>
        <w:t xml:space="preserve"> </w:t>
      </w:r>
    </w:p>
    <w:p w14:paraId="4BCF6277" w14:textId="582BD8A5" w:rsidR="00484D3E" w:rsidRPr="002F5ED9" w:rsidRDefault="00484D3E" w:rsidP="00484D3E">
      <w:r w:rsidRPr="002F5ED9">
        <w:t xml:space="preserve">Detailed project cost-estimate information is included in </w:t>
      </w:r>
      <w:r w:rsidRPr="00E25B9A">
        <w:t>Appendix A of</w:t>
      </w:r>
      <w:r w:rsidRPr="002F5ED9">
        <w:t xml:space="preserve"> the </w:t>
      </w:r>
      <w:r w:rsidR="007F3DD4">
        <w:t>BUILD</w:t>
      </w:r>
      <w:r w:rsidRPr="002F5ED9">
        <w:t xml:space="preserve"> grant application.</w:t>
      </w:r>
    </w:p>
    <w:p w14:paraId="3534B424" w14:textId="77777777" w:rsidR="00E25B9A" w:rsidRPr="00B23B88" w:rsidRDefault="00E25B9A" w:rsidP="00E25B9A">
      <w:pPr>
        <w:pStyle w:val="Heading2"/>
      </w:pPr>
      <w:r w:rsidRPr="00B23B88">
        <w:t>Operating &amp; Maintenance Expenditures</w:t>
      </w:r>
    </w:p>
    <w:p w14:paraId="41EF87CB" w14:textId="77777777" w:rsidR="00E25B9A" w:rsidRPr="00B23B88" w:rsidRDefault="00E25B9A" w:rsidP="00E25B9A">
      <w:r w:rsidRPr="00B23B88">
        <w:t xml:space="preserve">Operating and maintenance (O&amp;M) costs have been estimated for both the Baseline and Preferred scenarios using historic maintenance costs and information provided by </w:t>
      </w:r>
      <w:r>
        <w:t>the Colorado Department of Transportation (CDOT).</w:t>
      </w:r>
      <w:r w:rsidRPr="00B23B88">
        <w:t xml:space="preserve"> </w:t>
      </w:r>
    </w:p>
    <w:p w14:paraId="1D3951DD" w14:textId="2A867DC4" w:rsidR="00E25B9A" w:rsidRPr="006D3DC7" w:rsidRDefault="00E25B9A" w:rsidP="00E25B9A">
      <w:r w:rsidRPr="006D3DC7">
        <w:t xml:space="preserve">The most recent available 3-year average maintenance costs for the existing intersections reflect $10,200 per intersection per year. It was conservatively assumed that the three-year average costs reflect 2017$. These annual maintenance costs have been inflated to </w:t>
      </w:r>
      <w:r w:rsidRPr="002F5ED9">
        <w:t>20</w:t>
      </w:r>
      <w:r>
        <w:t>2</w:t>
      </w:r>
      <w:r w:rsidR="007F3DD4">
        <w:t>4</w:t>
      </w:r>
      <w:r w:rsidRPr="002F5ED9">
        <w:t xml:space="preserve">$ </w:t>
      </w:r>
      <w:r w:rsidR="001E212B" w:rsidRPr="002F5ED9">
        <w:t xml:space="preserve">using the factors published in the Bureau of Economic Analysis, National Income and Product Accounts, Table 1.1.9, "Implicit Price Deflators for Gross Domestic Product", </w:t>
      </w:r>
      <w:r w:rsidR="007F3DD4">
        <w:t>September 2025</w:t>
      </w:r>
      <w:r w:rsidR="001E212B" w:rsidRPr="002F5ED9">
        <w:t>.</w:t>
      </w:r>
      <w:r w:rsidR="00A4158F">
        <w:t xml:space="preserve"> </w:t>
      </w:r>
      <w:r w:rsidRPr="006D3DC7">
        <w:t>Annual intersection maintenance costs have been assumed to be $</w:t>
      </w:r>
      <w:r w:rsidR="00A4158F">
        <w:t>1</w:t>
      </w:r>
      <w:r w:rsidR="00F7379C">
        <w:t>2,750</w:t>
      </w:r>
      <w:r w:rsidRPr="006D3DC7">
        <w:t xml:space="preserve"> (20</w:t>
      </w:r>
      <w:r>
        <w:t>2</w:t>
      </w:r>
      <w:r w:rsidR="00F7379C">
        <w:t>4</w:t>
      </w:r>
      <w:r w:rsidRPr="006D3DC7">
        <w:t>$).</w:t>
      </w:r>
    </w:p>
    <w:p w14:paraId="3B0639F7" w14:textId="639A6969" w:rsidR="00E25B9A" w:rsidRPr="00934D4F" w:rsidRDefault="00E25B9A" w:rsidP="00E25B9A">
      <w:r w:rsidRPr="00934D4F">
        <w:t>For the Preferred Scenario, historic five-year interchange maintenance costs have been estimated using the statewide average annual O&amp;M costs per major interstate interchange of $87,000. Like the average intersection maintenance costs were conservatively assumed to reflect 2017$ and have been inflated to $20</w:t>
      </w:r>
      <w:r>
        <w:t>2</w:t>
      </w:r>
      <w:r w:rsidR="00F7379C">
        <w:t>4</w:t>
      </w:r>
      <w:r w:rsidRPr="00934D4F">
        <w:t>. Annual interchange maintenance costs have been assumed to be $</w:t>
      </w:r>
      <w:r w:rsidR="00F7379C">
        <w:t>108,750</w:t>
      </w:r>
      <w:r w:rsidRPr="00934D4F">
        <w:t xml:space="preserve"> (20</w:t>
      </w:r>
      <w:r>
        <w:t>2</w:t>
      </w:r>
      <w:r w:rsidR="00F7379C">
        <w:t>4</w:t>
      </w:r>
      <w:r w:rsidRPr="00934D4F">
        <w:t>$).</w:t>
      </w:r>
    </w:p>
    <w:p w14:paraId="78EA98C9" w14:textId="2AB79EB5" w:rsidR="00E25B9A" w:rsidRPr="00AA6A5B" w:rsidRDefault="00E25B9A" w:rsidP="00E25B9A">
      <w:r w:rsidRPr="006D5630">
        <w:lastRenderedPageBreak/>
        <w:t xml:space="preserve">CDOT has also indicated that there currently </w:t>
      </w:r>
      <w:r w:rsidR="007C40AC">
        <w:t>was</w:t>
      </w:r>
      <w:r w:rsidRPr="006D5630">
        <w:t xml:space="preserve"> a resurfacing project, including the proposed project area, programed for 2022. Resurfacing projects are projected to occur every 10 years. The BCA analysis has included resurfacing costs on a 10-year cycle using CDOT’s long term lifecycle planning costs of $35/square yard</w:t>
      </w:r>
      <w:r w:rsidR="00F7379C">
        <w:t xml:space="preserve"> ($44</w:t>
      </w:r>
      <w:r w:rsidR="00FD6D82">
        <w:t>/square yard in 2024$)</w:t>
      </w:r>
      <w:r w:rsidRPr="006D5630">
        <w:t xml:space="preserve"> of surface area of asphalt. Conceptual design drawings for the US 85/120</w:t>
      </w:r>
      <w:r w:rsidRPr="006D5630">
        <w:rPr>
          <w:vertAlign w:val="superscript"/>
        </w:rPr>
        <w:t>th</w:t>
      </w:r>
      <w:r w:rsidRPr="006D5630">
        <w:t xml:space="preserve"> Avenue </w:t>
      </w:r>
      <w:r w:rsidRPr="00AA6A5B">
        <w:t xml:space="preserve">interchange have been used to determine the projected Preferred Scenario surface area for resurfacing. </w:t>
      </w:r>
    </w:p>
    <w:p w14:paraId="5AF451FA" w14:textId="77777777" w:rsidR="00E25B9A" w:rsidRPr="00B23B88" w:rsidRDefault="00E25B9A" w:rsidP="00E25B9A">
      <w:r w:rsidRPr="00AA6A5B">
        <w:t>Under the Preferred Scenario, it has been assumed that the resurfacing project in the project area would be eliminated considering the timing of the larger US 85/120th Avenue Grade-Separation and Interchange Project and the resurfacing schedule would reset to a new 10-year cycle post project completion.</w:t>
      </w:r>
    </w:p>
    <w:p w14:paraId="15DF3AAE" w14:textId="77777777" w:rsidR="00085A71" w:rsidRPr="009547C3" w:rsidRDefault="00085A71" w:rsidP="00085A71">
      <w:pPr>
        <w:pStyle w:val="Heading2"/>
      </w:pPr>
      <w:r w:rsidRPr="009547C3">
        <w:t>Residual Value &amp; Remaining Service Life</w:t>
      </w:r>
    </w:p>
    <w:p w14:paraId="2FDAE281" w14:textId="77777777" w:rsidR="00085A71" w:rsidRPr="00F6183D" w:rsidRDefault="00085A71" w:rsidP="00085A71">
      <w:r w:rsidRPr="009547C3">
        <w:t>The residual value calculations have been conducted based on an assumed life of 75 years for the US 85/120th Avenue Interchange. The ROW costs for the interchange have been included as a full-valued asset at the end of the benefit period, and these specific ROW costs are considered residual value, have been discounted appropriately.</w:t>
      </w:r>
    </w:p>
    <w:p w14:paraId="7B3038AA" w14:textId="77777777" w:rsidR="00085A71" w:rsidRPr="00F6183D" w:rsidRDefault="00085A71" w:rsidP="00085A71">
      <w:r w:rsidRPr="00F6183D">
        <w:t>The residual value costs have been calculated using the total capital costs of the project, the remaining service life at the end of the analysis period, and the ongoing maintenance costs expected to occur outside the analysis period.</w:t>
      </w:r>
    </w:p>
    <w:p w14:paraId="611CBA04" w14:textId="3D498DBB" w:rsidR="00EC1B3D" w:rsidRPr="00F6183D" w:rsidRDefault="00EC1B3D" w:rsidP="00EC1B3D">
      <w:pPr>
        <w:pStyle w:val="Caption"/>
        <w:keepNext/>
      </w:pPr>
      <w:r>
        <w:t xml:space="preserve">Table </w:t>
      </w:r>
      <w:r>
        <w:fldChar w:fldCharType="begin"/>
      </w:r>
      <w:r>
        <w:instrText xml:space="preserve"> SEQ Table \* ARABIC </w:instrText>
      </w:r>
      <w:r>
        <w:fldChar w:fldCharType="separate"/>
      </w:r>
      <w:r w:rsidR="00896659">
        <w:rPr>
          <w:noProof/>
        </w:rPr>
        <w:t>7</w:t>
      </w:r>
      <w:r>
        <w:fldChar w:fldCharType="end"/>
      </w:r>
      <w:r w:rsidRPr="00F6183D">
        <w:t>.</w:t>
      </w:r>
      <w:r w:rsidRPr="00F6183D">
        <w:tab/>
        <w:t>Valuation of State of Good Repair – Residual Value</w:t>
      </w:r>
    </w:p>
    <w:tbl>
      <w:tblPr>
        <w:tblStyle w:val="TableGrid"/>
        <w:tblW w:w="5000" w:type="pct"/>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ook w:val="04A0" w:firstRow="1" w:lastRow="0" w:firstColumn="1" w:lastColumn="0" w:noHBand="0" w:noVBand="1"/>
      </w:tblPr>
      <w:tblGrid>
        <w:gridCol w:w="3433"/>
        <w:gridCol w:w="1669"/>
        <w:gridCol w:w="864"/>
        <w:gridCol w:w="1920"/>
        <w:gridCol w:w="1762"/>
      </w:tblGrid>
      <w:tr w:rsidR="00EC1B3D" w:rsidRPr="00F6183D" w14:paraId="0B75E024" w14:textId="77777777" w:rsidTr="00352104">
        <w:trPr>
          <w:tblHeader/>
        </w:trPr>
        <w:tc>
          <w:tcPr>
            <w:tcW w:w="1779" w:type="pct"/>
            <w:shd w:val="clear" w:color="auto" w:fill="D29F13" w:themeFill="accent4"/>
            <w:vAlign w:val="center"/>
          </w:tcPr>
          <w:p w14:paraId="261916C1" w14:textId="77777777" w:rsidR="00EC1B3D" w:rsidRPr="00F6183D" w:rsidRDefault="00EC1B3D" w:rsidP="00352104">
            <w:pPr>
              <w:pStyle w:val="TableHeading"/>
              <w:rPr>
                <w:sz w:val="20"/>
                <w:szCs w:val="20"/>
              </w:rPr>
            </w:pPr>
          </w:p>
        </w:tc>
        <w:tc>
          <w:tcPr>
            <w:tcW w:w="865" w:type="pct"/>
            <w:shd w:val="clear" w:color="auto" w:fill="D29F13" w:themeFill="accent4"/>
            <w:vAlign w:val="center"/>
          </w:tcPr>
          <w:p w14:paraId="2B8AA1C9" w14:textId="77777777" w:rsidR="00EC1B3D" w:rsidRPr="00F6183D" w:rsidRDefault="00EC1B3D" w:rsidP="00352104">
            <w:pPr>
              <w:pStyle w:val="TableHeading"/>
              <w:rPr>
                <w:sz w:val="20"/>
                <w:szCs w:val="20"/>
              </w:rPr>
            </w:pPr>
            <w:r w:rsidRPr="00F6183D">
              <w:rPr>
                <w:sz w:val="20"/>
                <w:szCs w:val="20"/>
              </w:rPr>
              <w:t>Total Costs (less ROW)</w:t>
            </w:r>
          </w:p>
        </w:tc>
        <w:tc>
          <w:tcPr>
            <w:tcW w:w="448" w:type="pct"/>
            <w:shd w:val="clear" w:color="auto" w:fill="D29F13" w:themeFill="accent4"/>
            <w:vAlign w:val="center"/>
          </w:tcPr>
          <w:p w14:paraId="006D744A" w14:textId="77777777" w:rsidR="00EC1B3D" w:rsidRPr="00F6183D" w:rsidRDefault="00EC1B3D" w:rsidP="00352104">
            <w:pPr>
              <w:pStyle w:val="TableHeading"/>
              <w:rPr>
                <w:sz w:val="20"/>
                <w:szCs w:val="20"/>
              </w:rPr>
            </w:pPr>
            <w:r w:rsidRPr="00F6183D">
              <w:rPr>
                <w:sz w:val="20"/>
                <w:szCs w:val="20"/>
              </w:rPr>
              <w:t>Useful Life</w:t>
            </w:r>
          </w:p>
        </w:tc>
        <w:tc>
          <w:tcPr>
            <w:tcW w:w="995" w:type="pct"/>
            <w:shd w:val="clear" w:color="auto" w:fill="D29F13" w:themeFill="accent4"/>
            <w:vAlign w:val="center"/>
          </w:tcPr>
          <w:p w14:paraId="0212ED50" w14:textId="77777777" w:rsidR="00EC1B3D" w:rsidRPr="00F6183D" w:rsidRDefault="00EC1B3D" w:rsidP="00352104">
            <w:pPr>
              <w:pStyle w:val="TableHeading"/>
              <w:rPr>
                <w:sz w:val="20"/>
                <w:szCs w:val="20"/>
              </w:rPr>
            </w:pPr>
            <w:r w:rsidRPr="00F6183D">
              <w:rPr>
                <w:sz w:val="20"/>
                <w:szCs w:val="20"/>
              </w:rPr>
              <w:t>Post-Analysis Maintenance</w:t>
            </w:r>
          </w:p>
        </w:tc>
        <w:tc>
          <w:tcPr>
            <w:tcW w:w="913" w:type="pct"/>
            <w:shd w:val="clear" w:color="auto" w:fill="D29F13" w:themeFill="accent4"/>
            <w:vAlign w:val="center"/>
          </w:tcPr>
          <w:p w14:paraId="2B26D2E8" w14:textId="77777777" w:rsidR="00EC1B3D" w:rsidRPr="00F6183D" w:rsidRDefault="00EC1B3D" w:rsidP="00352104">
            <w:pPr>
              <w:pStyle w:val="TableHeading"/>
              <w:rPr>
                <w:sz w:val="20"/>
                <w:szCs w:val="20"/>
              </w:rPr>
            </w:pPr>
            <w:r w:rsidRPr="00F6183D">
              <w:rPr>
                <w:sz w:val="20"/>
                <w:szCs w:val="20"/>
              </w:rPr>
              <w:t>Residual Value</w:t>
            </w:r>
          </w:p>
        </w:tc>
      </w:tr>
      <w:tr w:rsidR="00EC1B3D" w:rsidRPr="00F6183D" w14:paraId="1AA08E72" w14:textId="77777777" w:rsidTr="00352104">
        <w:tc>
          <w:tcPr>
            <w:tcW w:w="1779" w:type="pct"/>
            <w:vAlign w:val="bottom"/>
          </w:tcPr>
          <w:p w14:paraId="442485B4" w14:textId="77777777" w:rsidR="00EC1B3D" w:rsidRPr="00F6183D" w:rsidRDefault="00EC1B3D" w:rsidP="00352104">
            <w:pPr>
              <w:pStyle w:val="TableText"/>
            </w:pPr>
            <w:r w:rsidRPr="009165F2">
              <w:t>US 85/120th Avenue Grade-Separation and Interchange</w:t>
            </w:r>
            <w:r>
              <w:t xml:space="preserve"> </w:t>
            </w:r>
            <w:r w:rsidRPr="00F6183D">
              <w:t>Project</w:t>
            </w:r>
          </w:p>
        </w:tc>
        <w:tc>
          <w:tcPr>
            <w:tcW w:w="865" w:type="pct"/>
            <w:vAlign w:val="center"/>
          </w:tcPr>
          <w:p w14:paraId="482A2A90" w14:textId="3FD3AB3F" w:rsidR="00EC1B3D" w:rsidRPr="00F6183D" w:rsidRDefault="00EC1B3D" w:rsidP="00352104">
            <w:pPr>
              <w:pStyle w:val="TableText"/>
              <w:jc w:val="center"/>
            </w:pPr>
            <w:r>
              <w:t>$</w:t>
            </w:r>
            <w:r w:rsidR="00AA6AAE">
              <w:t>100,295,401</w:t>
            </w:r>
          </w:p>
        </w:tc>
        <w:tc>
          <w:tcPr>
            <w:tcW w:w="448" w:type="pct"/>
            <w:vAlign w:val="center"/>
          </w:tcPr>
          <w:p w14:paraId="14AFA225" w14:textId="77777777" w:rsidR="00EC1B3D" w:rsidRPr="00F6183D" w:rsidRDefault="00EC1B3D" w:rsidP="00352104">
            <w:pPr>
              <w:pStyle w:val="TableText"/>
              <w:jc w:val="center"/>
            </w:pPr>
            <w:r>
              <w:t>75</w:t>
            </w:r>
          </w:p>
        </w:tc>
        <w:tc>
          <w:tcPr>
            <w:tcW w:w="995" w:type="pct"/>
            <w:vAlign w:val="center"/>
          </w:tcPr>
          <w:p w14:paraId="30EC1206" w14:textId="395CDCBB" w:rsidR="00EC1B3D" w:rsidRPr="00F6183D" w:rsidRDefault="0082787D" w:rsidP="00352104">
            <w:pPr>
              <w:pStyle w:val="TableText"/>
              <w:jc w:val="center"/>
            </w:pPr>
            <w:r>
              <w:t>$17,</w:t>
            </w:r>
            <w:r w:rsidR="002562B3">
              <w:t>522,750</w:t>
            </w:r>
          </w:p>
        </w:tc>
        <w:tc>
          <w:tcPr>
            <w:tcW w:w="913" w:type="pct"/>
            <w:vAlign w:val="center"/>
          </w:tcPr>
          <w:p w14:paraId="6B7C4CF0" w14:textId="386C6BD3" w:rsidR="00EC1B3D" w:rsidRPr="00F6183D" w:rsidRDefault="00CC02F8" w:rsidP="00352104">
            <w:pPr>
              <w:pStyle w:val="TableText"/>
              <w:jc w:val="center"/>
            </w:pPr>
            <w:r>
              <w:t>$</w:t>
            </w:r>
            <w:r w:rsidR="002562B3">
              <w:t>48,003,579</w:t>
            </w:r>
          </w:p>
        </w:tc>
      </w:tr>
      <w:tr w:rsidR="00EC1B3D" w:rsidRPr="00F6183D" w14:paraId="0E7BF911" w14:textId="77777777" w:rsidTr="00352104">
        <w:tc>
          <w:tcPr>
            <w:tcW w:w="4087" w:type="pct"/>
            <w:gridSpan w:val="4"/>
            <w:tcBorders>
              <w:bottom w:val="single" w:sz="4" w:space="0" w:color="425563"/>
            </w:tcBorders>
            <w:vAlign w:val="bottom"/>
          </w:tcPr>
          <w:p w14:paraId="1C857D9D" w14:textId="77777777" w:rsidR="00EC1B3D" w:rsidRPr="00F6183D" w:rsidRDefault="00EC1B3D" w:rsidP="00352104">
            <w:pPr>
              <w:pStyle w:val="TableText"/>
              <w:jc w:val="right"/>
              <w:rPr>
                <w:b/>
                <w:bCs/>
              </w:rPr>
            </w:pPr>
            <w:r w:rsidRPr="00F6183D">
              <w:rPr>
                <w:b/>
                <w:bCs/>
              </w:rPr>
              <w:t>Total Value Remaining at End of Analysis</w:t>
            </w:r>
          </w:p>
        </w:tc>
        <w:tc>
          <w:tcPr>
            <w:tcW w:w="913" w:type="pct"/>
            <w:tcBorders>
              <w:bottom w:val="single" w:sz="4" w:space="0" w:color="425563"/>
            </w:tcBorders>
            <w:vAlign w:val="bottom"/>
          </w:tcPr>
          <w:p w14:paraId="4830AD7A" w14:textId="4B0BF204" w:rsidR="00EC1B3D" w:rsidRPr="00F6183D" w:rsidRDefault="0054554E" w:rsidP="00352104">
            <w:pPr>
              <w:pStyle w:val="TableText"/>
              <w:jc w:val="center"/>
              <w:rPr>
                <w:b/>
                <w:bCs/>
              </w:rPr>
            </w:pPr>
            <w:r>
              <w:rPr>
                <w:b/>
                <w:bCs/>
              </w:rPr>
              <w:t>$</w:t>
            </w:r>
            <w:r w:rsidR="002562B3">
              <w:rPr>
                <w:b/>
                <w:bCs/>
              </w:rPr>
              <w:t>88,862,235</w:t>
            </w:r>
          </w:p>
        </w:tc>
      </w:tr>
      <w:tr w:rsidR="00EC1B3D" w:rsidRPr="00E6466A" w14:paraId="0D4365BA" w14:textId="77777777" w:rsidTr="00352104">
        <w:tc>
          <w:tcPr>
            <w:tcW w:w="4087" w:type="pct"/>
            <w:gridSpan w:val="4"/>
            <w:tcBorders>
              <w:bottom w:val="single" w:sz="12" w:space="0" w:color="D29F13" w:themeColor="accent4"/>
            </w:tcBorders>
            <w:vAlign w:val="bottom"/>
          </w:tcPr>
          <w:p w14:paraId="450EA930" w14:textId="2771ABCD" w:rsidR="00EC1B3D" w:rsidRPr="00F6183D" w:rsidRDefault="00EC1B3D" w:rsidP="00352104">
            <w:pPr>
              <w:pStyle w:val="TableText"/>
              <w:jc w:val="right"/>
              <w:rPr>
                <w:b/>
                <w:bCs/>
              </w:rPr>
            </w:pPr>
            <w:r w:rsidRPr="00F6183D">
              <w:rPr>
                <w:b/>
                <w:bCs/>
              </w:rPr>
              <w:t xml:space="preserve">Present Value at </w:t>
            </w:r>
            <w:r w:rsidR="002562B3">
              <w:rPr>
                <w:b/>
                <w:bCs/>
              </w:rPr>
              <w:t>7.0</w:t>
            </w:r>
            <w:r w:rsidRPr="00F6183D">
              <w:rPr>
                <w:b/>
                <w:bCs/>
              </w:rPr>
              <w:t>% Discount Rate</w:t>
            </w:r>
          </w:p>
        </w:tc>
        <w:tc>
          <w:tcPr>
            <w:tcW w:w="913" w:type="pct"/>
            <w:tcBorders>
              <w:bottom w:val="single" w:sz="12" w:space="0" w:color="D29F13" w:themeColor="accent4"/>
            </w:tcBorders>
            <w:vAlign w:val="bottom"/>
          </w:tcPr>
          <w:p w14:paraId="5E7D7020" w14:textId="05B727E1" w:rsidR="00EC1B3D" w:rsidRPr="00F6183D" w:rsidRDefault="0054554E" w:rsidP="00352104">
            <w:pPr>
              <w:pStyle w:val="TableText"/>
              <w:jc w:val="center"/>
              <w:rPr>
                <w:b/>
                <w:bCs/>
              </w:rPr>
            </w:pPr>
            <w:r>
              <w:rPr>
                <w:b/>
                <w:bCs/>
              </w:rPr>
              <w:t>$</w:t>
            </w:r>
            <w:r w:rsidR="002562B3">
              <w:rPr>
                <w:b/>
                <w:bCs/>
              </w:rPr>
              <w:t>10,909,884</w:t>
            </w:r>
          </w:p>
        </w:tc>
      </w:tr>
    </w:tbl>
    <w:p w14:paraId="5D24B827" w14:textId="77777777" w:rsidR="00167F7E" w:rsidRPr="00D2180C" w:rsidRDefault="00167F7E" w:rsidP="00167F7E">
      <w:pPr>
        <w:pStyle w:val="Heading1"/>
      </w:pPr>
      <w:r w:rsidRPr="00D2180C">
        <w:t>Benefit Cost Analysis Results</w:t>
      </w:r>
    </w:p>
    <w:p w14:paraId="64B98702" w14:textId="77777777" w:rsidR="00167F7E" w:rsidRPr="00D2180C" w:rsidRDefault="00167F7E" w:rsidP="00167F7E">
      <w:pPr>
        <w:pStyle w:val="Heading2"/>
      </w:pPr>
      <w:r w:rsidRPr="00D2180C">
        <w:t>Net Present Value</w:t>
      </w:r>
    </w:p>
    <w:p w14:paraId="3C7D4592" w14:textId="2A77B564" w:rsidR="00167F7E" w:rsidRPr="00E6466A" w:rsidRDefault="00167F7E" w:rsidP="00167F7E">
      <w:pPr>
        <w:rPr>
          <w:highlight w:val="yellow"/>
        </w:rPr>
      </w:pPr>
      <w:r w:rsidRPr="00D2180C">
        <w:t xml:space="preserve">All benefits and costs for the life cycle of the </w:t>
      </w:r>
      <w:r w:rsidRPr="009165F2">
        <w:t>US 85/120th Avenue Grade-Separation and Interchange</w:t>
      </w:r>
      <w:r>
        <w:t xml:space="preserve"> </w:t>
      </w:r>
      <w:r w:rsidRPr="00D2180C">
        <w:t xml:space="preserve">Project have been </w:t>
      </w:r>
      <w:r w:rsidRPr="003F0B02">
        <w:t xml:space="preserve">discounted to the present, with the costs subtracted from the benefits to yield a net present value </w:t>
      </w:r>
      <w:r w:rsidRPr="00923549">
        <w:t>of $</w:t>
      </w:r>
      <w:r w:rsidR="00E35F0B">
        <w:t>151.6</w:t>
      </w:r>
      <w:r w:rsidRPr="00923549">
        <w:t xml:space="preserve"> million.</w:t>
      </w:r>
      <w:r w:rsidRPr="003F0B02">
        <w:t xml:space="preserve"> </w:t>
      </w:r>
    </w:p>
    <w:p w14:paraId="2CE2D6D2" w14:textId="77777777" w:rsidR="00167F7E" w:rsidRPr="00D2180C" w:rsidRDefault="00167F7E" w:rsidP="00167F7E">
      <w:pPr>
        <w:pStyle w:val="Heading2"/>
      </w:pPr>
      <w:r w:rsidRPr="00D2180C">
        <w:t>Benefit-Cost Ratio (BCR)</w:t>
      </w:r>
    </w:p>
    <w:p w14:paraId="1557F588" w14:textId="38B70322" w:rsidR="00167F7E" w:rsidRPr="00F4285E" w:rsidRDefault="00167F7E" w:rsidP="00167F7E">
      <w:r w:rsidRPr="00D2180C">
        <w:t xml:space="preserve">Over </w:t>
      </w:r>
      <w:r w:rsidRPr="00F4285E">
        <w:t>the assessment period, the US 85/120th Avenue Grade-Separation and Interchange Project generates approximately $</w:t>
      </w:r>
      <w:r w:rsidR="00E35F0B">
        <w:t>275.2</w:t>
      </w:r>
      <w:r w:rsidRPr="00F4285E">
        <w:t xml:space="preserve"> million in total benefits at the </w:t>
      </w:r>
      <w:r w:rsidR="00E35F0B">
        <w:t>7.0</w:t>
      </w:r>
      <w:r w:rsidRPr="00F4285E">
        <w:t xml:space="preserve"> percent discount rate. The US 85/120th Avenue Grade-Separation and Interchange Project has a BCR of </w:t>
      </w:r>
      <w:r w:rsidR="007462D0">
        <w:t>2.</w:t>
      </w:r>
      <w:r w:rsidR="00E35F0B">
        <w:t>23</w:t>
      </w:r>
      <w:r w:rsidRPr="00F4285E">
        <w:t xml:space="preserve">:1 at the </w:t>
      </w:r>
      <w:r w:rsidR="00E35F0B">
        <w:t>7.0</w:t>
      </w:r>
      <w:r w:rsidRPr="00F4285E">
        <w:t xml:space="preserve"> percent discount rate. </w:t>
      </w:r>
    </w:p>
    <w:p w14:paraId="6A732192" w14:textId="7BDDED7C" w:rsidR="00167F7E" w:rsidRDefault="00896659" w:rsidP="00167F7E">
      <w:r>
        <w:rPr>
          <w:b/>
          <w:bCs/>
        </w:rPr>
        <w:fldChar w:fldCharType="begin"/>
      </w:r>
      <w:r>
        <w:instrText xml:space="preserve"> REF _Ref158882174 \h </w:instrText>
      </w:r>
      <w:r>
        <w:rPr>
          <w:b/>
          <w:bCs/>
        </w:rPr>
      </w:r>
      <w:r>
        <w:rPr>
          <w:b/>
          <w:bCs/>
        </w:rPr>
        <w:fldChar w:fldCharType="separate"/>
      </w:r>
      <w:r>
        <w:t xml:space="preserve">Table </w:t>
      </w:r>
      <w:r>
        <w:rPr>
          <w:noProof/>
        </w:rPr>
        <w:t>8</w:t>
      </w:r>
      <w:r>
        <w:rPr>
          <w:b/>
          <w:bCs/>
        </w:rPr>
        <w:fldChar w:fldCharType="end"/>
      </w:r>
      <w:r>
        <w:rPr>
          <w:b/>
          <w:bCs/>
        </w:rPr>
        <w:t xml:space="preserve"> </w:t>
      </w:r>
      <w:r w:rsidR="00167F7E" w:rsidRPr="00F4285E">
        <w:t xml:space="preserve">summarizes the project benefit generated under the </w:t>
      </w:r>
      <w:r w:rsidR="00E35F0B">
        <w:t>7.0</w:t>
      </w:r>
      <w:r w:rsidR="00167F7E" w:rsidRPr="00F4285E">
        <w:t xml:space="preserve"> percent discount rate.</w:t>
      </w:r>
    </w:p>
    <w:p w14:paraId="7FEFCA9F" w14:textId="0897BC69" w:rsidR="00896659" w:rsidRDefault="00896659">
      <w:pPr>
        <w:spacing w:before="0" w:after="0"/>
      </w:pPr>
      <w:r>
        <w:br w:type="page"/>
      </w:r>
    </w:p>
    <w:p w14:paraId="37152699" w14:textId="1888BC91" w:rsidR="00896659" w:rsidRPr="00D2180C" w:rsidRDefault="00896659" w:rsidP="00896659">
      <w:pPr>
        <w:pStyle w:val="Caption"/>
      </w:pPr>
      <w:bookmarkStart w:id="10" w:name="_Ref158882174"/>
      <w:r>
        <w:lastRenderedPageBreak/>
        <w:t xml:space="preserve">Table </w:t>
      </w:r>
      <w:r>
        <w:fldChar w:fldCharType="begin"/>
      </w:r>
      <w:r>
        <w:instrText xml:space="preserve"> SEQ Table \* ARABIC </w:instrText>
      </w:r>
      <w:r>
        <w:fldChar w:fldCharType="separate"/>
      </w:r>
      <w:r>
        <w:rPr>
          <w:noProof/>
        </w:rPr>
        <w:t>8</w:t>
      </w:r>
      <w:r>
        <w:fldChar w:fldCharType="end"/>
      </w:r>
      <w:bookmarkEnd w:id="10"/>
      <w:r w:rsidRPr="00F4285E">
        <w:t>.</w:t>
      </w:r>
      <w:r w:rsidRPr="00F4285E">
        <w:tab/>
        <w:t>Benefit Cost Summary (20</w:t>
      </w:r>
      <w:r w:rsidR="007C49C9">
        <w:t>24</w:t>
      </w:r>
      <w:r w:rsidRPr="00F4285E">
        <w:t>–2055)</w:t>
      </w:r>
    </w:p>
    <w:tbl>
      <w:tblPr>
        <w:tblStyle w:val="TableGrid"/>
        <w:tblW w:w="5000" w:type="pct"/>
        <w:jc w:val="center"/>
        <w:tblBorders>
          <w:top w:val="single" w:sz="4" w:space="0" w:color="425563"/>
          <w:left w:val="none" w:sz="0" w:space="0" w:color="auto"/>
          <w:bottom w:val="single" w:sz="12" w:space="0" w:color="00677F"/>
          <w:right w:val="none" w:sz="0" w:space="0" w:color="auto"/>
          <w:insideH w:val="single" w:sz="4" w:space="0" w:color="425563"/>
          <w:insideV w:val="single" w:sz="4" w:space="0" w:color="425563"/>
        </w:tblBorders>
        <w:tblLook w:val="04A0" w:firstRow="1" w:lastRow="0" w:firstColumn="1" w:lastColumn="0" w:noHBand="0" w:noVBand="1"/>
      </w:tblPr>
      <w:tblGrid>
        <w:gridCol w:w="6507"/>
        <w:gridCol w:w="3141"/>
      </w:tblGrid>
      <w:tr w:rsidR="00896659" w:rsidRPr="00E6466A" w14:paraId="4E9778FD" w14:textId="77777777" w:rsidTr="006E5C9B">
        <w:trPr>
          <w:jc w:val="center"/>
        </w:trPr>
        <w:tc>
          <w:tcPr>
            <w:tcW w:w="3372" w:type="pct"/>
            <w:shd w:val="clear" w:color="auto" w:fill="00677F" w:themeFill="accent3"/>
          </w:tcPr>
          <w:p w14:paraId="41768204" w14:textId="77777777" w:rsidR="00896659" w:rsidRPr="003F0B02" w:rsidRDefault="00896659" w:rsidP="00352104">
            <w:pPr>
              <w:pStyle w:val="TableHeading"/>
            </w:pPr>
          </w:p>
        </w:tc>
        <w:tc>
          <w:tcPr>
            <w:tcW w:w="1628" w:type="pct"/>
            <w:shd w:val="clear" w:color="auto" w:fill="00677F" w:themeFill="accent3"/>
          </w:tcPr>
          <w:p w14:paraId="7A66A366" w14:textId="0AE194DB" w:rsidR="00896659" w:rsidRPr="003F0B02" w:rsidRDefault="00896659" w:rsidP="00352104">
            <w:pPr>
              <w:pStyle w:val="TableHeading"/>
            </w:pPr>
            <w:proofErr w:type="gramStart"/>
            <w:r w:rsidRPr="003F0B02">
              <w:t>Discounted at</w:t>
            </w:r>
            <w:proofErr w:type="gramEnd"/>
            <w:r w:rsidRPr="003F0B02">
              <w:t xml:space="preserve"> </w:t>
            </w:r>
            <w:r w:rsidR="00E35F0B">
              <w:t>7.0</w:t>
            </w:r>
            <w:r w:rsidRPr="003F0B02">
              <w:t>%</w:t>
            </w:r>
          </w:p>
        </w:tc>
      </w:tr>
      <w:tr w:rsidR="00896659" w:rsidRPr="00E6466A" w14:paraId="170E9B0B" w14:textId="77777777" w:rsidTr="006E5C9B">
        <w:trPr>
          <w:jc w:val="center"/>
        </w:trPr>
        <w:tc>
          <w:tcPr>
            <w:tcW w:w="5000" w:type="pct"/>
            <w:gridSpan w:val="2"/>
            <w:shd w:val="clear" w:color="auto" w:fill="D29F13" w:themeFill="accent4"/>
          </w:tcPr>
          <w:p w14:paraId="24096258" w14:textId="77777777" w:rsidR="00896659" w:rsidRPr="003F0B02" w:rsidRDefault="00896659" w:rsidP="00352104">
            <w:pPr>
              <w:pStyle w:val="TableHeading"/>
            </w:pPr>
            <w:r w:rsidRPr="003F0B02">
              <w:t>Total Project Costs</w:t>
            </w:r>
          </w:p>
        </w:tc>
      </w:tr>
      <w:tr w:rsidR="00896659" w:rsidRPr="00E6466A" w14:paraId="6F2C7EEB" w14:textId="77777777" w:rsidTr="006E5C9B">
        <w:trPr>
          <w:jc w:val="center"/>
        </w:trPr>
        <w:tc>
          <w:tcPr>
            <w:tcW w:w="3372" w:type="pct"/>
            <w:vAlign w:val="bottom"/>
          </w:tcPr>
          <w:p w14:paraId="265EBD01" w14:textId="77777777" w:rsidR="00896659" w:rsidRPr="003F0B02" w:rsidRDefault="00896659" w:rsidP="00352104">
            <w:pPr>
              <w:pStyle w:val="TableText"/>
            </w:pPr>
            <w:r w:rsidRPr="003F0B02">
              <w:rPr>
                <w:szCs w:val="20"/>
              </w:rPr>
              <w:t xml:space="preserve">Present Value of Total Costs </w:t>
            </w:r>
          </w:p>
        </w:tc>
        <w:tc>
          <w:tcPr>
            <w:tcW w:w="1628" w:type="pct"/>
            <w:vAlign w:val="bottom"/>
          </w:tcPr>
          <w:p w14:paraId="1B859832" w14:textId="28114A5E" w:rsidR="00896659" w:rsidRPr="003F0B02" w:rsidRDefault="006E5C9B" w:rsidP="00352104">
            <w:pPr>
              <w:pStyle w:val="TableText"/>
              <w:jc w:val="right"/>
            </w:pPr>
            <w:r>
              <w:t>$</w:t>
            </w:r>
            <w:r w:rsidR="00E35F0B">
              <w:t>123,526,200</w:t>
            </w:r>
          </w:p>
        </w:tc>
      </w:tr>
      <w:tr w:rsidR="00896659" w:rsidRPr="003F0B02" w14:paraId="1F6E2522" w14:textId="77777777" w:rsidTr="006E5C9B">
        <w:trPr>
          <w:jc w:val="center"/>
        </w:trPr>
        <w:tc>
          <w:tcPr>
            <w:tcW w:w="3372" w:type="pct"/>
            <w:vAlign w:val="bottom"/>
          </w:tcPr>
          <w:p w14:paraId="190DE586" w14:textId="77777777" w:rsidR="00896659" w:rsidRPr="003F0B02" w:rsidRDefault="00896659" w:rsidP="00352104">
            <w:pPr>
              <w:pStyle w:val="TableText"/>
              <w:rPr>
                <w:b/>
              </w:rPr>
            </w:pPr>
            <w:r w:rsidRPr="003F0B02">
              <w:rPr>
                <w:b/>
              </w:rPr>
              <w:t>TOTAL Costs</w:t>
            </w:r>
          </w:p>
        </w:tc>
        <w:tc>
          <w:tcPr>
            <w:tcW w:w="1628" w:type="pct"/>
            <w:vAlign w:val="bottom"/>
          </w:tcPr>
          <w:p w14:paraId="452B0BBD" w14:textId="5D7A18B4" w:rsidR="00896659" w:rsidRPr="006E5C9B" w:rsidRDefault="006E5C9B" w:rsidP="00352104">
            <w:pPr>
              <w:pStyle w:val="TableText"/>
              <w:jc w:val="right"/>
              <w:rPr>
                <w:b/>
                <w:bCs/>
                <w:szCs w:val="20"/>
              </w:rPr>
            </w:pPr>
            <w:r w:rsidRPr="006E5C9B">
              <w:rPr>
                <w:b/>
                <w:bCs/>
              </w:rPr>
              <w:t>$</w:t>
            </w:r>
            <w:r w:rsidR="00E35F0B">
              <w:rPr>
                <w:b/>
                <w:bCs/>
              </w:rPr>
              <w:t>123,526,200</w:t>
            </w:r>
          </w:p>
        </w:tc>
      </w:tr>
      <w:tr w:rsidR="00896659" w:rsidRPr="00E6466A" w14:paraId="30910BAB" w14:textId="77777777" w:rsidTr="006E5C9B">
        <w:trPr>
          <w:jc w:val="center"/>
        </w:trPr>
        <w:tc>
          <w:tcPr>
            <w:tcW w:w="5000" w:type="pct"/>
            <w:gridSpan w:val="2"/>
            <w:shd w:val="clear" w:color="auto" w:fill="D29F13" w:themeFill="accent4"/>
            <w:vAlign w:val="bottom"/>
          </w:tcPr>
          <w:p w14:paraId="5F934A2A" w14:textId="217EE6DC" w:rsidR="00896659" w:rsidRPr="003F0B02" w:rsidRDefault="00896659" w:rsidP="00352104">
            <w:pPr>
              <w:pStyle w:val="TableText"/>
              <w:jc w:val="center"/>
              <w:rPr>
                <w:b/>
                <w:bCs/>
                <w:color w:val="000000"/>
                <w:sz w:val="22"/>
                <w:szCs w:val="20"/>
              </w:rPr>
            </w:pPr>
            <w:r w:rsidRPr="003F0B02">
              <w:rPr>
                <w:b/>
                <w:bCs/>
                <w:color w:val="FFFFFF" w:themeColor="background1"/>
                <w:sz w:val="22"/>
                <w:szCs w:val="20"/>
              </w:rPr>
              <w:t>Total Project Benefits</w:t>
            </w:r>
          </w:p>
        </w:tc>
      </w:tr>
      <w:tr w:rsidR="00896659" w:rsidRPr="00E6466A" w14:paraId="195ECFD6" w14:textId="77777777" w:rsidTr="006E5C9B">
        <w:trPr>
          <w:jc w:val="center"/>
        </w:trPr>
        <w:tc>
          <w:tcPr>
            <w:tcW w:w="5000" w:type="pct"/>
            <w:gridSpan w:val="2"/>
            <w:shd w:val="clear" w:color="auto" w:fill="D0CECE" w:themeFill="background2" w:themeFillShade="E6"/>
            <w:vAlign w:val="bottom"/>
          </w:tcPr>
          <w:p w14:paraId="477973DD" w14:textId="77777777" w:rsidR="00896659" w:rsidRPr="003F0B02" w:rsidRDefault="00896659" w:rsidP="00352104">
            <w:pPr>
              <w:pStyle w:val="TableText"/>
              <w:jc w:val="center"/>
              <w:rPr>
                <w:b/>
                <w:bCs/>
                <w:color w:val="000000"/>
                <w:szCs w:val="20"/>
              </w:rPr>
            </w:pPr>
            <w:r w:rsidRPr="003F0B02">
              <w:rPr>
                <w:b/>
                <w:bCs/>
                <w:color w:val="000000"/>
                <w:szCs w:val="20"/>
              </w:rPr>
              <w:t>Operating, Maintenance &amp; Residual Value</w:t>
            </w:r>
          </w:p>
        </w:tc>
      </w:tr>
      <w:tr w:rsidR="00896659" w:rsidRPr="00E6466A" w14:paraId="4131D471" w14:textId="77777777" w:rsidTr="006E5C9B">
        <w:trPr>
          <w:jc w:val="center"/>
        </w:trPr>
        <w:tc>
          <w:tcPr>
            <w:tcW w:w="3372" w:type="pct"/>
            <w:vAlign w:val="bottom"/>
          </w:tcPr>
          <w:p w14:paraId="65580375" w14:textId="77777777" w:rsidR="00896659" w:rsidRPr="003F0B02" w:rsidRDefault="00896659" w:rsidP="00352104">
            <w:pPr>
              <w:pStyle w:val="TableText"/>
            </w:pPr>
            <w:r w:rsidRPr="003F0B02">
              <w:rPr>
                <w:szCs w:val="20"/>
              </w:rPr>
              <w:t>Operating &amp; Maintenance</w:t>
            </w:r>
          </w:p>
        </w:tc>
        <w:tc>
          <w:tcPr>
            <w:tcW w:w="1628" w:type="pct"/>
            <w:vAlign w:val="bottom"/>
          </w:tcPr>
          <w:p w14:paraId="7C897A9D" w14:textId="2B3A6F2C" w:rsidR="00896659" w:rsidRPr="003F0B02" w:rsidRDefault="00896659" w:rsidP="00352104">
            <w:pPr>
              <w:pStyle w:val="TableText"/>
              <w:jc w:val="right"/>
            </w:pPr>
            <w:r>
              <w:t>$</w:t>
            </w:r>
            <w:r w:rsidR="00E35F0B">
              <w:t>252,747</w:t>
            </w:r>
          </w:p>
        </w:tc>
      </w:tr>
      <w:tr w:rsidR="00896659" w:rsidRPr="00AA188A" w14:paraId="12577EB5" w14:textId="77777777" w:rsidTr="006E5C9B">
        <w:trPr>
          <w:jc w:val="center"/>
        </w:trPr>
        <w:tc>
          <w:tcPr>
            <w:tcW w:w="3372" w:type="pct"/>
            <w:vAlign w:val="bottom"/>
          </w:tcPr>
          <w:p w14:paraId="2FAFD32F" w14:textId="61E33195" w:rsidR="00896659" w:rsidRPr="003F0B02" w:rsidRDefault="00896659" w:rsidP="00352104">
            <w:pPr>
              <w:pStyle w:val="TableText"/>
              <w:rPr>
                <w:szCs w:val="20"/>
              </w:rPr>
            </w:pPr>
            <w:r w:rsidRPr="003F0B02">
              <w:rPr>
                <w:szCs w:val="20"/>
              </w:rPr>
              <w:t xml:space="preserve">Residual Value </w:t>
            </w:r>
          </w:p>
        </w:tc>
        <w:tc>
          <w:tcPr>
            <w:tcW w:w="1628" w:type="pct"/>
            <w:vAlign w:val="bottom"/>
          </w:tcPr>
          <w:p w14:paraId="07458DA4" w14:textId="284D1143" w:rsidR="00BF6944" w:rsidRPr="00AA188A" w:rsidRDefault="00AA188A" w:rsidP="00BF6944">
            <w:pPr>
              <w:pStyle w:val="TableText"/>
              <w:jc w:val="right"/>
              <w:rPr>
                <w:szCs w:val="20"/>
              </w:rPr>
            </w:pPr>
            <w:r w:rsidRPr="00AA188A">
              <w:t>$</w:t>
            </w:r>
            <w:r w:rsidR="00C5102C">
              <w:t>10,909,884</w:t>
            </w:r>
          </w:p>
        </w:tc>
      </w:tr>
      <w:tr w:rsidR="00103C51" w:rsidRPr="00E6466A" w14:paraId="5977CDE6" w14:textId="77777777" w:rsidTr="006E5C9B">
        <w:trPr>
          <w:jc w:val="center"/>
        </w:trPr>
        <w:tc>
          <w:tcPr>
            <w:tcW w:w="5000" w:type="pct"/>
            <w:gridSpan w:val="2"/>
            <w:shd w:val="clear" w:color="auto" w:fill="D0CECE" w:themeFill="background2" w:themeFillShade="E6"/>
          </w:tcPr>
          <w:p w14:paraId="43922A91" w14:textId="447C6C3D" w:rsidR="00103C51" w:rsidRDefault="00103C51" w:rsidP="00352104">
            <w:pPr>
              <w:pStyle w:val="TableText"/>
              <w:jc w:val="center"/>
              <w:rPr>
                <w:b/>
                <w:szCs w:val="20"/>
              </w:rPr>
            </w:pPr>
            <w:r>
              <w:rPr>
                <w:b/>
                <w:szCs w:val="20"/>
              </w:rPr>
              <w:t>Train Operating and Social Costs</w:t>
            </w:r>
          </w:p>
        </w:tc>
      </w:tr>
      <w:tr w:rsidR="00DA5079" w:rsidRPr="00E6466A" w14:paraId="2525DD17" w14:textId="77777777" w:rsidTr="00E377F4">
        <w:trPr>
          <w:jc w:val="center"/>
        </w:trPr>
        <w:tc>
          <w:tcPr>
            <w:tcW w:w="3372" w:type="pct"/>
            <w:vAlign w:val="bottom"/>
          </w:tcPr>
          <w:p w14:paraId="2C87F5CC" w14:textId="1116F97F" w:rsidR="00DA5079" w:rsidRDefault="00DA5079" w:rsidP="00DA5079">
            <w:pPr>
              <w:pStyle w:val="TableText"/>
              <w:rPr>
                <w:b/>
                <w:szCs w:val="20"/>
              </w:rPr>
            </w:pPr>
            <w:r>
              <w:rPr>
                <w:szCs w:val="20"/>
              </w:rPr>
              <w:t>Freight Train Idling</w:t>
            </w:r>
          </w:p>
        </w:tc>
        <w:tc>
          <w:tcPr>
            <w:tcW w:w="1628" w:type="pct"/>
            <w:vAlign w:val="bottom"/>
          </w:tcPr>
          <w:p w14:paraId="6422C67F" w14:textId="6A7195A1" w:rsidR="00DA5079" w:rsidRDefault="00DA5079" w:rsidP="00DA5079">
            <w:pPr>
              <w:pStyle w:val="TableText"/>
              <w:jc w:val="right"/>
              <w:rPr>
                <w:b/>
                <w:szCs w:val="20"/>
              </w:rPr>
            </w:pPr>
            <w:r>
              <w:rPr>
                <w:color w:val="000000"/>
                <w:szCs w:val="20"/>
              </w:rPr>
              <w:t>$</w:t>
            </w:r>
            <w:r w:rsidR="00C5102C">
              <w:rPr>
                <w:color w:val="000000"/>
                <w:szCs w:val="20"/>
              </w:rPr>
              <w:t>384,008</w:t>
            </w:r>
          </w:p>
        </w:tc>
      </w:tr>
      <w:tr w:rsidR="00DA5079" w:rsidRPr="00E6466A" w14:paraId="7696076C" w14:textId="77777777" w:rsidTr="00E377F4">
        <w:trPr>
          <w:jc w:val="center"/>
        </w:trPr>
        <w:tc>
          <w:tcPr>
            <w:tcW w:w="3372" w:type="pct"/>
            <w:vAlign w:val="bottom"/>
          </w:tcPr>
          <w:p w14:paraId="7840146E" w14:textId="396E2C58" w:rsidR="00DA5079" w:rsidRDefault="00DA5079" w:rsidP="00DA5079">
            <w:pPr>
              <w:pStyle w:val="TableText"/>
              <w:rPr>
                <w:b/>
                <w:szCs w:val="20"/>
              </w:rPr>
            </w:pPr>
            <w:r>
              <w:rPr>
                <w:szCs w:val="20"/>
              </w:rPr>
              <w:t>Non-CO2 Emission Costs</w:t>
            </w:r>
          </w:p>
        </w:tc>
        <w:tc>
          <w:tcPr>
            <w:tcW w:w="1628" w:type="pct"/>
            <w:vAlign w:val="bottom"/>
          </w:tcPr>
          <w:p w14:paraId="4D5CA796" w14:textId="7522302E" w:rsidR="00DA5079" w:rsidRDefault="00DA5079" w:rsidP="00DA5079">
            <w:pPr>
              <w:pStyle w:val="TableText"/>
              <w:jc w:val="right"/>
              <w:rPr>
                <w:b/>
                <w:szCs w:val="20"/>
              </w:rPr>
            </w:pPr>
            <w:r>
              <w:rPr>
                <w:color w:val="000000"/>
                <w:szCs w:val="20"/>
              </w:rPr>
              <w:t>$</w:t>
            </w:r>
            <w:r w:rsidR="00C5102C">
              <w:rPr>
                <w:color w:val="000000"/>
                <w:szCs w:val="20"/>
              </w:rPr>
              <w:t>1,184,641</w:t>
            </w:r>
          </w:p>
        </w:tc>
      </w:tr>
      <w:tr w:rsidR="00896659" w:rsidRPr="00E6466A" w14:paraId="6590FBD5" w14:textId="77777777" w:rsidTr="006E5C9B">
        <w:trPr>
          <w:jc w:val="center"/>
        </w:trPr>
        <w:tc>
          <w:tcPr>
            <w:tcW w:w="5000" w:type="pct"/>
            <w:gridSpan w:val="2"/>
            <w:shd w:val="clear" w:color="auto" w:fill="D0CECE" w:themeFill="background2" w:themeFillShade="E6"/>
          </w:tcPr>
          <w:p w14:paraId="41A4AD16" w14:textId="123F933C" w:rsidR="00896659" w:rsidRPr="003F0B02" w:rsidRDefault="002C1207" w:rsidP="00352104">
            <w:pPr>
              <w:pStyle w:val="TableText"/>
              <w:jc w:val="center"/>
              <w:rPr>
                <w:szCs w:val="20"/>
              </w:rPr>
            </w:pPr>
            <w:r>
              <w:rPr>
                <w:b/>
                <w:szCs w:val="20"/>
              </w:rPr>
              <w:t>Value of Travel Time Savings</w:t>
            </w:r>
          </w:p>
        </w:tc>
      </w:tr>
      <w:tr w:rsidR="008D7A10" w:rsidRPr="00E6466A" w14:paraId="1ABB15A7" w14:textId="77777777" w:rsidTr="006E5C9B">
        <w:trPr>
          <w:jc w:val="center"/>
        </w:trPr>
        <w:tc>
          <w:tcPr>
            <w:tcW w:w="3372" w:type="pct"/>
            <w:vAlign w:val="bottom"/>
          </w:tcPr>
          <w:p w14:paraId="061A083A" w14:textId="77777777" w:rsidR="008D7A10" w:rsidRPr="003F0B02" w:rsidRDefault="008D7A10" w:rsidP="008D7A10">
            <w:pPr>
              <w:pStyle w:val="TableText"/>
            </w:pPr>
            <w:r w:rsidRPr="003F0B02">
              <w:rPr>
                <w:szCs w:val="20"/>
              </w:rPr>
              <w:t xml:space="preserve">Travel Time Savings </w:t>
            </w:r>
            <w:r>
              <w:rPr>
                <w:szCs w:val="20"/>
              </w:rPr>
              <w:t>–</w:t>
            </w:r>
            <w:r w:rsidRPr="003F0B02">
              <w:rPr>
                <w:szCs w:val="20"/>
              </w:rPr>
              <w:t xml:space="preserve"> Private Vehicle Travel</w:t>
            </w:r>
          </w:p>
        </w:tc>
        <w:tc>
          <w:tcPr>
            <w:tcW w:w="1628" w:type="pct"/>
            <w:vAlign w:val="bottom"/>
          </w:tcPr>
          <w:p w14:paraId="2FBA577D" w14:textId="70901FF8" w:rsidR="008D7A10" w:rsidRPr="003F0B02" w:rsidRDefault="002C1207" w:rsidP="008D7A10">
            <w:pPr>
              <w:pStyle w:val="TableText"/>
              <w:jc w:val="right"/>
              <w:rPr>
                <w:szCs w:val="20"/>
              </w:rPr>
            </w:pPr>
            <w:r>
              <w:rPr>
                <w:color w:val="000000"/>
                <w:szCs w:val="20"/>
              </w:rPr>
              <w:t>$106,564,227</w:t>
            </w:r>
          </w:p>
        </w:tc>
      </w:tr>
      <w:tr w:rsidR="008D7A10" w:rsidRPr="00E6466A" w14:paraId="4B73F4DE" w14:textId="77777777" w:rsidTr="006E5C9B">
        <w:trPr>
          <w:jc w:val="center"/>
        </w:trPr>
        <w:tc>
          <w:tcPr>
            <w:tcW w:w="3372" w:type="pct"/>
            <w:vAlign w:val="bottom"/>
          </w:tcPr>
          <w:p w14:paraId="163A66D6" w14:textId="77777777" w:rsidR="008D7A10" w:rsidRPr="003F0B02" w:rsidRDefault="008D7A10" w:rsidP="008D7A10">
            <w:pPr>
              <w:pStyle w:val="TableText"/>
            </w:pPr>
            <w:r w:rsidRPr="003F0B02">
              <w:rPr>
                <w:szCs w:val="20"/>
              </w:rPr>
              <w:t xml:space="preserve">Travel Time Savings </w:t>
            </w:r>
            <w:r>
              <w:rPr>
                <w:szCs w:val="20"/>
              </w:rPr>
              <w:t>–</w:t>
            </w:r>
            <w:r w:rsidRPr="003F0B02">
              <w:rPr>
                <w:szCs w:val="20"/>
              </w:rPr>
              <w:t xml:space="preserve"> Commercial Vehicle Travel</w:t>
            </w:r>
          </w:p>
        </w:tc>
        <w:tc>
          <w:tcPr>
            <w:tcW w:w="1628" w:type="pct"/>
            <w:vAlign w:val="bottom"/>
          </w:tcPr>
          <w:p w14:paraId="5987D7F0" w14:textId="53EF93CC" w:rsidR="008D7A10" w:rsidRPr="003F0B02" w:rsidRDefault="002C1207" w:rsidP="008D7A10">
            <w:pPr>
              <w:pStyle w:val="TableText"/>
              <w:jc w:val="right"/>
              <w:rPr>
                <w:szCs w:val="20"/>
              </w:rPr>
            </w:pPr>
            <w:r>
              <w:rPr>
                <w:color w:val="000000"/>
                <w:szCs w:val="20"/>
              </w:rPr>
              <w:t>$5,752,444</w:t>
            </w:r>
          </w:p>
        </w:tc>
      </w:tr>
      <w:tr w:rsidR="00896659" w:rsidRPr="00E6466A" w14:paraId="6BE77271" w14:textId="77777777" w:rsidTr="006E5C9B">
        <w:trPr>
          <w:jc w:val="center"/>
        </w:trPr>
        <w:tc>
          <w:tcPr>
            <w:tcW w:w="5000" w:type="pct"/>
            <w:gridSpan w:val="2"/>
            <w:shd w:val="clear" w:color="auto" w:fill="D0CECE" w:themeFill="background2" w:themeFillShade="E6"/>
          </w:tcPr>
          <w:p w14:paraId="187216F5" w14:textId="77777777" w:rsidR="00896659" w:rsidRPr="003F0B02" w:rsidRDefault="00896659" w:rsidP="00352104">
            <w:pPr>
              <w:pStyle w:val="TableText"/>
              <w:jc w:val="center"/>
              <w:rPr>
                <w:b/>
                <w:szCs w:val="20"/>
              </w:rPr>
            </w:pPr>
            <w:r w:rsidRPr="003F0B02">
              <w:rPr>
                <w:b/>
                <w:szCs w:val="20"/>
              </w:rPr>
              <w:t>Sustainability</w:t>
            </w:r>
          </w:p>
        </w:tc>
      </w:tr>
      <w:tr w:rsidR="00896659" w:rsidRPr="00E6466A" w14:paraId="535BE8D7" w14:textId="77777777" w:rsidTr="006E5C9B">
        <w:trPr>
          <w:jc w:val="center"/>
        </w:trPr>
        <w:tc>
          <w:tcPr>
            <w:tcW w:w="3372" w:type="pct"/>
            <w:vAlign w:val="bottom"/>
          </w:tcPr>
          <w:p w14:paraId="291E5728" w14:textId="1C1CF9EE" w:rsidR="00896659" w:rsidRPr="003F0B02" w:rsidRDefault="00896659" w:rsidP="00352104">
            <w:pPr>
              <w:pStyle w:val="TableText"/>
            </w:pPr>
            <w:r w:rsidRPr="003F0B02">
              <w:rPr>
                <w:color w:val="000000"/>
                <w:szCs w:val="20"/>
              </w:rPr>
              <w:t>Emissions Reductions</w:t>
            </w:r>
          </w:p>
        </w:tc>
        <w:tc>
          <w:tcPr>
            <w:tcW w:w="1628" w:type="pct"/>
            <w:vAlign w:val="bottom"/>
          </w:tcPr>
          <w:p w14:paraId="0C0267FC" w14:textId="6D83813D" w:rsidR="00896659" w:rsidRPr="003F0B02" w:rsidRDefault="002C1207" w:rsidP="00352104">
            <w:pPr>
              <w:pStyle w:val="TableText"/>
              <w:jc w:val="right"/>
              <w:rPr>
                <w:szCs w:val="20"/>
              </w:rPr>
            </w:pPr>
            <w:r>
              <w:rPr>
                <w:szCs w:val="20"/>
              </w:rPr>
              <w:t>$61,569</w:t>
            </w:r>
          </w:p>
        </w:tc>
      </w:tr>
      <w:tr w:rsidR="00896659" w:rsidRPr="00E6466A" w14:paraId="125915A3" w14:textId="77777777" w:rsidTr="006E5C9B">
        <w:trPr>
          <w:jc w:val="center"/>
        </w:trPr>
        <w:tc>
          <w:tcPr>
            <w:tcW w:w="5000" w:type="pct"/>
            <w:gridSpan w:val="2"/>
            <w:shd w:val="clear" w:color="auto" w:fill="D0CECE" w:themeFill="background2" w:themeFillShade="E6"/>
            <w:vAlign w:val="bottom"/>
          </w:tcPr>
          <w:p w14:paraId="08006616" w14:textId="77777777" w:rsidR="00896659" w:rsidRPr="003F0B02" w:rsidRDefault="00896659" w:rsidP="00352104">
            <w:pPr>
              <w:pStyle w:val="TableText"/>
              <w:jc w:val="center"/>
              <w:rPr>
                <w:color w:val="000000"/>
                <w:szCs w:val="20"/>
              </w:rPr>
            </w:pPr>
            <w:r w:rsidRPr="003F0B02">
              <w:rPr>
                <w:b/>
                <w:szCs w:val="20"/>
              </w:rPr>
              <w:t>Safety</w:t>
            </w:r>
          </w:p>
        </w:tc>
      </w:tr>
      <w:tr w:rsidR="00A27996" w:rsidRPr="00E6466A" w14:paraId="65D66531" w14:textId="77777777" w:rsidTr="006E5C9B">
        <w:trPr>
          <w:jc w:val="center"/>
        </w:trPr>
        <w:tc>
          <w:tcPr>
            <w:tcW w:w="3372" w:type="pct"/>
            <w:vAlign w:val="bottom"/>
          </w:tcPr>
          <w:p w14:paraId="7E9FD82A" w14:textId="77777777" w:rsidR="00A27996" w:rsidRPr="003F0B02" w:rsidRDefault="00A27996" w:rsidP="00A27996">
            <w:pPr>
              <w:pStyle w:val="TableText"/>
              <w:rPr>
                <w:color w:val="000000"/>
                <w:szCs w:val="20"/>
              </w:rPr>
            </w:pPr>
            <w:r w:rsidRPr="003F0B02">
              <w:rPr>
                <w:szCs w:val="20"/>
              </w:rPr>
              <w:t>Reduction in Property Damage Only Accidents</w:t>
            </w:r>
          </w:p>
        </w:tc>
        <w:tc>
          <w:tcPr>
            <w:tcW w:w="1628" w:type="pct"/>
            <w:vAlign w:val="bottom"/>
          </w:tcPr>
          <w:p w14:paraId="5534CE2D" w14:textId="73470656" w:rsidR="00A27996" w:rsidRPr="003F0B02" w:rsidRDefault="00A27996" w:rsidP="00A27996">
            <w:pPr>
              <w:pStyle w:val="TableText"/>
              <w:jc w:val="right"/>
              <w:rPr>
                <w:color w:val="000000"/>
                <w:szCs w:val="20"/>
              </w:rPr>
            </w:pPr>
            <w:r>
              <w:rPr>
                <w:color w:val="000000"/>
                <w:szCs w:val="20"/>
              </w:rPr>
              <w:t>$</w:t>
            </w:r>
            <w:r w:rsidR="002C1207">
              <w:rPr>
                <w:color w:val="000000"/>
                <w:szCs w:val="20"/>
              </w:rPr>
              <w:t>2,724,482</w:t>
            </w:r>
          </w:p>
        </w:tc>
      </w:tr>
      <w:tr w:rsidR="00A27996" w:rsidRPr="00E6466A" w14:paraId="5F3D4A47" w14:textId="77777777" w:rsidTr="006E5C9B">
        <w:trPr>
          <w:trHeight w:val="260"/>
          <w:jc w:val="center"/>
        </w:trPr>
        <w:tc>
          <w:tcPr>
            <w:tcW w:w="3372" w:type="pct"/>
            <w:vAlign w:val="bottom"/>
          </w:tcPr>
          <w:p w14:paraId="6CF508A0" w14:textId="77777777" w:rsidR="00A27996" w:rsidRPr="003F0B02" w:rsidRDefault="00A27996" w:rsidP="00A27996">
            <w:pPr>
              <w:pStyle w:val="TableText"/>
              <w:rPr>
                <w:color w:val="000000"/>
                <w:szCs w:val="20"/>
              </w:rPr>
            </w:pPr>
            <w:r w:rsidRPr="003F0B02">
              <w:rPr>
                <w:szCs w:val="20"/>
              </w:rPr>
              <w:t>Reduction in Injury Accidents</w:t>
            </w:r>
          </w:p>
        </w:tc>
        <w:tc>
          <w:tcPr>
            <w:tcW w:w="1628" w:type="pct"/>
            <w:vAlign w:val="bottom"/>
          </w:tcPr>
          <w:p w14:paraId="0F58DDAF" w14:textId="4FA07CA6" w:rsidR="00A27996" w:rsidRPr="003F0B02" w:rsidRDefault="002C1207" w:rsidP="00A27996">
            <w:pPr>
              <w:pStyle w:val="TableText"/>
              <w:jc w:val="right"/>
              <w:rPr>
                <w:color w:val="000000"/>
                <w:szCs w:val="20"/>
              </w:rPr>
            </w:pPr>
            <w:r>
              <w:rPr>
                <w:color w:val="000000"/>
                <w:szCs w:val="20"/>
              </w:rPr>
              <w:t>$28,299,472</w:t>
            </w:r>
          </w:p>
        </w:tc>
      </w:tr>
      <w:tr w:rsidR="00A27996" w:rsidRPr="00E6466A" w14:paraId="27CD089A" w14:textId="77777777" w:rsidTr="006E5C9B">
        <w:trPr>
          <w:jc w:val="center"/>
        </w:trPr>
        <w:tc>
          <w:tcPr>
            <w:tcW w:w="3372" w:type="pct"/>
            <w:vAlign w:val="bottom"/>
          </w:tcPr>
          <w:p w14:paraId="4D577F7A" w14:textId="77777777" w:rsidR="00A27996" w:rsidRPr="003F0B02" w:rsidRDefault="00A27996" w:rsidP="00A27996">
            <w:pPr>
              <w:pStyle w:val="TableText"/>
              <w:rPr>
                <w:color w:val="000000"/>
                <w:szCs w:val="20"/>
              </w:rPr>
            </w:pPr>
            <w:r w:rsidRPr="003F0B02">
              <w:rPr>
                <w:szCs w:val="20"/>
              </w:rPr>
              <w:t>Reduction in Fatal Accidents</w:t>
            </w:r>
          </w:p>
        </w:tc>
        <w:tc>
          <w:tcPr>
            <w:tcW w:w="1628" w:type="pct"/>
            <w:vAlign w:val="bottom"/>
          </w:tcPr>
          <w:p w14:paraId="30C24490" w14:textId="7C49E63C" w:rsidR="00A27996" w:rsidRPr="003F0B02" w:rsidRDefault="002C1207" w:rsidP="00A27996">
            <w:pPr>
              <w:pStyle w:val="TableText"/>
              <w:jc w:val="right"/>
              <w:rPr>
                <w:color w:val="000000"/>
                <w:szCs w:val="20"/>
              </w:rPr>
            </w:pPr>
            <w:r>
              <w:rPr>
                <w:color w:val="000000"/>
                <w:szCs w:val="20"/>
              </w:rPr>
              <w:t>$1,005,487</w:t>
            </w:r>
          </w:p>
        </w:tc>
      </w:tr>
      <w:tr w:rsidR="00896659" w:rsidRPr="00E6466A" w14:paraId="755B8937" w14:textId="77777777" w:rsidTr="006E5C9B">
        <w:trPr>
          <w:jc w:val="center"/>
        </w:trPr>
        <w:tc>
          <w:tcPr>
            <w:tcW w:w="3372" w:type="pct"/>
            <w:vAlign w:val="bottom"/>
          </w:tcPr>
          <w:p w14:paraId="7FCFCFF0" w14:textId="77777777" w:rsidR="00896659" w:rsidRPr="003F0B02" w:rsidRDefault="00896659" w:rsidP="00A27996">
            <w:pPr>
              <w:pStyle w:val="TableText"/>
              <w:jc w:val="right"/>
            </w:pPr>
            <w:r w:rsidRPr="003F0B02">
              <w:rPr>
                <w:b/>
              </w:rPr>
              <w:t>TOTAL Benefits</w:t>
            </w:r>
          </w:p>
        </w:tc>
        <w:tc>
          <w:tcPr>
            <w:tcW w:w="1628" w:type="pct"/>
            <w:vAlign w:val="bottom"/>
          </w:tcPr>
          <w:p w14:paraId="62691BC7" w14:textId="040EEBBC" w:rsidR="00896659" w:rsidRPr="003F0B02" w:rsidRDefault="007C49C9" w:rsidP="00352104">
            <w:pPr>
              <w:pStyle w:val="TableText"/>
              <w:jc w:val="right"/>
              <w:rPr>
                <w:b/>
                <w:szCs w:val="20"/>
              </w:rPr>
            </w:pPr>
            <w:r>
              <w:rPr>
                <w:b/>
                <w:szCs w:val="20"/>
              </w:rPr>
              <w:t>$275,161,896</w:t>
            </w:r>
          </w:p>
        </w:tc>
      </w:tr>
      <w:tr w:rsidR="00896659" w:rsidRPr="00E6466A" w14:paraId="1A3FD921" w14:textId="77777777" w:rsidTr="006E5C9B">
        <w:trPr>
          <w:jc w:val="center"/>
        </w:trPr>
        <w:tc>
          <w:tcPr>
            <w:tcW w:w="3372" w:type="pct"/>
            <w:tcBorders>
              <w:bottom w:val="single" w:sz="4" w:space="0" w:color="425563"/>
            </w:tcBorders>
            <w:vAlign w:val="bottom"/>
          </w:tcPr>
          <w:p w14:paraId="53AC00B6" w14:textId="77777777" w:rsidR="00896659" w:rsidRPr="003F0B02" w:rsidRDefault="00896659" w:rsidP="00A27996">
            <w:pPr>
              <w:pStyle w:val="TableText"/>
              <w:jc w:val="right"/>
              <w:rPr>
                <w:b/>
              </w:rPr>
            </w:pPr>
            <w:r w:rsidRPr="003F0B02">
              <w:rPr>
                <w:b/>
                <w:bCs/>
                <w:color w:val="000000"/>
                <w:szCs w:val="20"/>
              </w:rPr>
              <w:t>Benefit Cost Ratio</w:t>
            </w:r>
          </w:p>
        </w:tc>
        <w:tc>
          <w:tcPr>
            <w:tcW w:w="1628" w:type="pct"/>
            <w:tcBorders>
              <w:bottom w:val="single" w:sz="4" w:space="0" w:color="425563"/>
            </w:tcBorders>
            <w:vAlign w:val="bottom"/>
          </w:tcPr>
          <w:p w14:paraId="08A4182B" w14:textId="37C505DB" w:rsidR="00896659" w:rsidRPr="003F0B02" w:rsidRDefault="00896659" w:rsidP="00352104">
            <w:pPr>
              <w:pStyle w:val="TableText"/>
              <w:jc w:val="right"/>
              <w:rPr>
                <w:b/>
                <w:bCs/>
                <w:color w:val="000000"/>
                <w:szCs w:val="20"/>
              </w:rPr>
            </w:pPr>
            <w:proofErr w:type="gramStart"/>
            <w:r w:rsidRPr="003F0B02">
              <w:rPr>
                <w:b/>
                <w:bCs/>
                <w:color w:val="000000"/>
                <w:szCs w:val="20"/>
              </w:rPr>
              <w:t>2.</w:t>
            </w:r>
            <w:r w:rsidR="007C49C9">
              <w:rPr>
                <w:b/>
                <w:bCs/>
                <w:color w:val="000000"/>
                <w:szCs w:val="20"/>
              </w:rPr>
              <w:t>23</w:t>
            </w:r>
            <w:r w:rsidRPr="003F0B02">
              <w:rPr>
                <w:b/>
                <w:bCs/>
                <w:color w:val="000000"/>
                <w:szCs w:val="20"/>
              </w:rPr>
              <w:t xml:space="preserve"> :</w:t>
            </w:r>
            <w:proofErr w:type="gramEnd"/>
            <w:r w:rsidRPr="003F0B02">
              <w:rPr>
                <w:b/>
                <w:bCs/>
                <w:color w:val="000000"/>
                <w:szCs w:val="20"/>
              </w:rPr>
              <w:t xml:space="preserve"> 1</w:t>
            </w:r>
          </w:p>
        </w:tc>
      </w:tr>
      <w:tr w:rsidR="00896659" w14:paraId="76F67A57" w14:textId="77777777" w:rsidTr="006E5C9B">
        <w:trPr>
          <w:jc w:val="center"/>
        </w:trPr>
        <w:tc>
          <w:tcPr>
            <w:tcW w:w="3372" w:type="pct"/>
            <w:tcBorders>
              <w:bottom w:val="single" w:sz="12" w:space="0" w:color="D29F13" w:themeColor="accent4"/>
            </w:tcBorders>
            <w:vAlign w:val="bottom"/>
          </w:tcPr>
          <w:p w14:paraId="1E79809C" w14:textId="77777777" w:rsidR="00896659" w:rsidRPr="003F0B02" w:rsidRDefault="00896659" w:rsidP="00A27996">
            <w:pPr>
              <w:pStyle w:val="TableText"/>
              <w:jc w:val="right"/>
              <w:rPr>
                <w:b/>
                <w:bCs/>
                <w:color w:val="000000"/>
                <w:szCs w:val="20"/>
              </w:rPr>
            </w:pPr>
            <w:r w:rsidRPr="003F0B02">
              <w:rPr>
                <w:b/>
                <w:bCs/>
                <w:color w:val="000000"/>
                <w:szCs w:val="20"/>
              </w:rPr>
              <w:t>Net Present Value of Entire Project</w:t>
            </w:r>
          </w:p>
        </w:tc>
        <w:tc>
          <w:tcPr>
            <w:tcW w:w="1628" w:type="pct"/>
            <w:tcBorders>
              <w:bottom w:val="single" w:sz="12" w:space="0" w:color="D29F13" w:themeColor="accent4"/>
            </w:tcBorders>
            <w:vAlign w:val="bottom"/>
          </w:tcPr>
          <w:p w14:paraId="3647AE4C" w14:textId="33A49E2F" w:rsidR="00896659" w:rsidRPr="003F0B02" w:rsidRDefault="007C49C9" w:rsidP="00352104">
            <w:pPr>
              <w:pStyle w:val="TableText"/>
              <w:jc w:val="right"/>
              <w:rPr>
                <w:b/>
                <w:bCs/>
                <w:color w:val="000000"/>
                <w:szCs w:val="20"/>
              </w:rPr>
            </w:pPr>
            <w:r>
              <w:rPr>
                <w:b/>
                <w:bCs/>
                <w:color w:val="000000"/>
                <w:szCs w:val="20"/>
              </w:rPr>
              <w:t>$151,635,696</w:t>
            </w:r>
          </w:p>
        </w:tc>
      </w:tr>
    </w:tbl>
    <w:p w14:paraId="4023C3A3" w14:textId="77777777" w:rsidR="00D262DE" w:rsidRPr="00D262DE" w:rsidRDefault="00D262DE" w:rsidP="00D262DE">
      <w:pPr>
        <w:pStyle w:val="BodyText"/>
      </w:pPr>
    </w:p>
    <w:sectPr w:rsidR="00D262DE" w:rsidRPr="00D262DE" w:rsidSect="00424C87">
      <w:headerReference w:type="default" r:id="rId8"/>
      <w:headerReference w:type="first" r:id="rId9"/>
      <w:footerReference w:type="first" r:id="rId10"/>
      <w:pgSz w:w="12240" w:h="15840" w:code="1"/>
      <w:pgMar w:top="2160" w:right="1296" w:bottom="720" w:left="1296"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F3ABD" w14:textId="77777777" w:rsidR="00392E29" w:rsidRDefault="00392E29" w:rsidP="00AC5A6F">
      <w:r>
        <w:separator/>
      </w:r>
    </w:p>
  </w:endnote>
  <w:endnote w:type="continuationSeparator" w:id="0">
    <w:p w14:paraId="3EE21B70" w14:textId="77777777" w:rsidR="00392E29" w:rsidRDefault="00392E29" w:rsidP="00AC5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AF91" w14:textId="77777777" w:rsidR="00E6007D" w:rsidRDefault="00FE5F0E">
    <w:pPr>
      <w:pStyle w:val="Footer"/>
    </w:pPr>
    <w:r>
      <w:rPr>
        <w:noProof/>
      </w:rPr>
      <w:drawing>
        <wp:inline distT="0" distB="0" distL="0" distR="0" wp14:anchorId="452898D5" wp14:editId="4DBCD773">
          <wp:extent cx="6126480" cy="767715"/>
          <wp:effectExtent l="0" t="0" r="0" b="0"/>
          <wp:docPr id="1" name="Picture 1" descr="A close 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FHULetterhead-footer-02.png"/>
                  <pic:cNvPicPr/>
                </pic:nvPicPr>
                <pic:blipFill>
                  <a:blip r:embed="rId1">
                    <a:extLst>
                      <a:ext uri="{28A0092B-C50C-407E-A947-70E740481C1C}">
                        <a14:useLocalDpi xmlns:a14="http://schemas.microsoft.com/office/drawing/2010/main" val="0"/>
                      </a:ext>
                    </a:extLst>
                  </a:blip>
                  <a:stretch>
                    <a:fillRect/>
                  </a:stretch>
                </pic:blipFill>
                <pic:spPr>
                  <a:xfrm>
                    <a:off x="0" y="0"/>
                    <a:ext cx="6126480" cy="7677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146A" w14:textId="77777777" w:rsidR="00392E29" w:rsidRDefault="00392E29" w:rsidP="00AC5A6F">
      <w:r>
        <w:separator/>
      </w:r>
    </w:p>
  </w:footnote>
  <w:footnote w:type="continuationSeparator" w:id="0">
    <w:p w14:paraId="71936D60" w14:textId="77777777" w:rsidR="00392E29" w:rsidRDefault="00392E29" w:rsidP="00AC5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FF9E" w14:textId="36D952E8" w:rsidR="00AC5A6F" w:rsidRDefault="00BE652E" w:rsidP="000304A4">
    <w:pPr>
      <w:pStyle w:val="NoSpacing"/>
    </w:pPr>
    <w:r>
      <w:t xml:space="preserve">February </w:t>
    </w:r>
    <w:r w:rsidR="00974FAA">
      <w:t>16, 2026</w:t>
    </w:r>
  </w:p>
  <w:p w14:paraId="601E707E" w14:textId="77777777" w:rsidR="00BE652E" w:rsidRDefault="00BE652E" w:rsidP="000304A4">
    <w:pPr>
      <w:pStyle w:val="NoSpacing"/>
    </w:pPr>
    <w:r w:rsidRPr="009165F2">
      <w:t>US 85/120th Avenue Grade-Separation and Interchange</w:t>
    </w:r>
    <w:r>
      <w:t xml:space="preserve"> </w:t>
    </w:r>
    <w:r w:rsidRPr="00E6466A">
      <w:t>Project</w:t>
    </w:r>
    <w:r>
      <w:t xml:space="preserve"> – Benefit Cost Analysis Assumptions</w:t>
    </w:r>
  </w:p>
  <w:p w14:paraId="7E6C1593" w14:textId="77777777" w:rsidR="00AC5A6F" w:rsidRDefault="00AC5A6F" w:rsidP="000304A4">
    <w:pPr>
      <w:pStyle w:val="NoSpacing"/>
    </w:pPr>
    <w:r>
      <w:t xml:space="preserve">Page </w:t>
    </w:r>
    <w:r>
      <w:fldChar w:fldCharType="begin"/>
    </w:r>
    <w:r>
      <w:instrText xml:space="preserve"> PAGE   \* MERGEFORMAT </w:instrText>
    </w:r>
    <w:r>
      <w:fldChar w:fldCharType="separate"/>
    </w:r>
    <w:r w:rsidR="00CD768F">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7F278" w14:textId="77777777" w:rsidR="00A426FD" w:rsidRDefault="00E6007D" w:rsidP="00E6007D">
    <w:pPr>
      <w:pStyle w:val="Header"/>
      <w:jc w:val="center"/>
    </w:pPr>
    <w:r>
      <w:rPr>
        <w:noProof/>
      </w:rPr>
      <w:drawing>
        <wp:anchor distT="0" distB="0" distL="114300" distR="114300" simplePos="0" relativeHeight="251658240" behindDoc="0" locked="0" layoutInCell="1" allowOverlap="1" wp14:anchorId="3A89ADA1" wp14:editId="4ED6D6C6">
          <wp:simplePos x="0" y="0"/>
          <wp:positionH relativeFrom="margin">
            <wp:posOffset>1933575</wp:posOffset>
          </wp:positionH>
          <wp:positionV relativeFrom="margin">
            <wp:posOffset>-1257300</wp:posOffset>
          </wp:positionV>
          <wp:extent cx="1692402" cy="1097280"/>
          <wp:effectExtent l="0" t="0" r="3175"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nalFHULetterhead-Logo.jpg"/>
                  <pic:cNvPicPr/>
                </pic:nvPicPr>
                <pic:blipFill>
                  <a:blip r:embed="rId1">
                    <a:extLst>
                      <a:ext uri="{28A0092B-C50C-407E-A947-70E740481C1C}">
                        <a14:useLocalDpi xmlns:a14="http://schemas.microsoft.com/office/drawing/2010/main" val="0"/>
                      </a:ext>
                    </a:extLst>
                  </a:blip>
                  <a:stretch>
                    <a:fillRect/>
                  </a:stretch>
                </pic:blipFill>
                <pic:spPr>
                  <a:xfrm>
                    <a:off x="0" y="0"/>
                    <a:ext cx="1692402" cy="10972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C6112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38D2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524B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3C03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74F2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3A1F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AEA0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1E52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06AF5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B66E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509E6"/>
    <w:multiLevelType w:val="hybridMultilevel"/>
    <w:tmpl w:val="EEEC53F4"/>
    <w:lvl w:ilvl="0" w:tplc="7EF04D68">
      <w:start w:val="1"/>
      <w:numFmt w:val="bullet"/>
      <w:pStyle w:val="MemorandumBulletLAST"/>
      <w:lvlText w:val=""/>
      <w:lvlJc w:val="left"/>
      <w:pPr>
        <w:ind w:left="1080" w:hanging="360"/>
      </w:pPr>
      <w:rPr>
        <w:rFonts w:ascii="Wingdings" w:hAnsi="Wingdings" w:hint="default"/>
        <w:b/>
        <w:color w:val="auto"/>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B04DA6"/>
    <w:multiLevelType w:val="hybridMultilevel"/>
    <w:tmpl w:val="6F72EC30"/>
    <w:lvl w:ilvl="0" w:tplc="73DC484C">
      <w:start w:val="1"/>
      <w:numFmt w:val="bullet"/>
      <w:lvlText w:val=""/>
      <w:lvlJc w:val="left"/>
      <w:pPr>
        <w:ind w:left="1080" w:hanging="360"/>
      </w:pPr>
      <w:rPr>
        <w:rFonts w:ascii="Wingdings" w:hAnsi="Wingdings" w:hint="default"/>
        <w:b/>
        <w:color w:val="auto"/>
        <w:sz w:val="12"/>
        <w:szCs w:val="1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873E6E"/>
    <w:multiLevelType w:val="hybridMultilevel"/>
    <w:tmpl w:val="543621CC"/>
    <w:lvl w:ilvl="0" w:tplc="C17AD5B0">
      <w:start w:val="1"/>
      <w:numFmt w:val="bullet"/>
      <w:pStyle w:val="ReportBullet1LAST"/>
      <w:lvlText w:val=""/>
      <w:lvlJc w:val="left"/>
      <w:pPr>
        <w:ind w:left="720" w:hanging="360"/>
      </w:pPr>
      <w:rPr>
        <w:rFonts w:ascii="Wingdings" w:hAnsi="Wingdings" w:hint="default"/>
        <w:b/>
        <w:color w:val="D29F13" w:themeColor="accent4"/>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276DF"/>
    <w:multiLevelType w:val="hybridMultilevel"/>
    <w:tmpl w:val="1CE26C6C"/>
    <w:lvl w:ilvl="0" w:tplc="4EF0AC5A">
      <w:start w:val="1"/>
      <w:numFmt w:val="bullet"/>
      <w:pStyle w:val="MemorandumBullet1"/>
      <w:lvlText w:val=""/>
      <w:lvlJc w:val="left"/>
      <w:pPr>
        <w:ind w:left="1080" w:hanging="360"/>
      </w:pPr>
      <w:rPr>
        <w:rFonts w:ascii="Wingdings" w:hAnsi="Wingdings" w:hint="default"/>
        <w:b/>
        <w:color w:val="auto"/>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A076A8B"/>
    <w:multiLevelType w:val="multilevel"/>
    <w:tmpl w:val="1DE2CEEC"/>
    <w:lvl w:ilvl="0">
      <w:start w:val="1"/>
      <w:numFmt w:val="decimal"/>
      <w:lvlText w:val="%1."/>
      <w:lvlJc w:val="left"/>
      <w:pPr>
        <w:ind w:left="936" w:hanging="936"/>
      </w:pPr>
      <w:rPr>
        <w:rFonts w:hint="default"/>
      </w:rPr>
    </w:lvl>
    <w:lvl w:ilvl="1">
      <w:start w:val="1"/>
      <w:numFmt w:val="decimal"/>
      <w:lvlText w:val="%1.%2"/>
      <w:lvlJc w:val="left"/>
      <w:pPr>
        <w:ind w:left="936" w:hanging="93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D656A3F"/>
    <w:multiLevelType w:val="hybridMultilevel"/>
    <w:tmpl w:val="5194EEB8"/>
    <w:lvl w:ilvl="0" w:tplc="C5724A88">
      <w:start w:val="1"/>
      <w:numFmt w:val="bullet"/>
      <w:lvlText w:val=""/>
      <w:lvlJc w:val="left"/>
      <w:pPr>
        <w:ind w:left="1440" w:hanging="360"/>
      </w:pPr>
      <w:rPr>
        <w:rFonts w:ascii="Symbol" w:hAnsi="Symbol" w:hint="default"/>
        <w:b/>
        <w:color w:val="auto"/>
        <w:sz w:val="18"/>
        <w:szCs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F1C2D7F"/>
    <w:multiLevelType w:val="hybridMultilevel"/>
    <w:tmpl w:val="46161C82"/>
    <w:lvl w:ilvl="0" w:tplc="27AEA6C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45C07CD"/>
    <w:multiLevelType w:val="multilevel"/>
    <w:tmpl w:val="1DE2CEEC"/>
    <w:lvl w:ilvl="0">
      <w:start w:val="1"/>
      <w:numFmt w:val="decimal"/>
      <w:lvlText w:val="%1."/>
      <w:lvlJc w:val="left"/>
      <w:pPr>
        <w:ind w:left="936" w:hanging="936"/>
      </w:pPr>
      <w:rPr>
        <w:rFonts w:hint="default"/>
      </w:rPr>
    </w:lvl>
    <w:lvl w:ilvl="1">
      <w:start w:val="1"/>
      <w:numFmt w:val="decimal"/>
      <w:lvlText w:val="%1.%2"/>
      <w:lvlJc w:val="left"/>
      <w:pPr>
        <w:ind w:left="936" w:hanging="93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6AAB7DE8"/>
    <w:multiLevelType w:val="hybridMultilevel"/>
    <w:tmpl w:val="6156B236"/>
    <w:lvl w:ilvl="0" w:tplc="70F62C1A">
      <w:start w:val="1"/>
      <w:numFmt w:val="bullet"/>
      <w:pStyle w:val="ReportBullet1"/>
      <w:lvlText w:val=""/>
      <w:lvlJc w:val="left"/>
      <w:pPr>
        <w:ind w:left="720" w:hanging="360"/>
      </w:pPr>
      <w:rPr>
        <w:rFonts w:ascii="Wingdings" w:hAnsi="Wingdings" w:hint="default"/>
        <w:b/>
        <w:color w:val="D29F13" w:themeColor="accent4"/>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E554FC"/>
    <w:multiLevelType w:val="hybridMultilevel"/>
    <w:tmpl w:val="F92A7CDA"/>
    <w:lvl w:ilvl="0" w:tplc="61F4446A">
      <w:start w:val="1"/>
      <w:numFmt w:val="bullet"/>
      <w:pStyle w:val="MemorandumBullet2"/>
      <w:lvlText w:val=""/>
      <w:lvlJc w:val="left"/>
      <w:pPr>
        <w:ind w:left="1440" w:hanging="360"/>
      </w:pPr>
      <w:rPr>
        <w:rFonts w:ascii="Symbol" w:hAnsi="Symbol" w:hint="default"/>
        <w:b/>
        <w:color w:val="auto"/>
        <w:sz w:val="18"/>
        <w:szCs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53B2D34"/>
    <w:multiLevelType w:val="hybridMultilevel"/>
    <w:tmpl w:val="F0A8FE32"/>
    <w:lvl w:ilvl="0" w:tplc="96DABB8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016637">
    <w:abstractNumId w:val="9"/>
  </w:num>
  <w:num w:numId="2" w16cid:durableId="151721771">
    <w:abstractNumId w:val="7"/>
  </w:num>
  <w:num w:numId="3" w16cid:durableId="1588076965">
    <w:abstractNumId w:val="6"/>
  </w:num>
  <w:num w:numId="4" w16cid:durableId="591861682">
    <w:abstractNumId w:val="5"/>
  </w:num>
  <w:num w:numId="5" w16cid:durableId="1451320773">
    <w:abstractNumId w:val="4"/>
  </w:num>
  <w:num w:numId="6" w16cid:durableId="2008826690">
    <w:abstractNumId w:val="8"/>
  </w:num>
  <w:num w:numId="7" w16cid:durableId="1823039780">
    <w:abstractNumId w:val="3"/>
  </w:num>
  <w:num w:numId="8" w16cid:durableId="49808767">
    <w:abstractNumId w:val="2"/>
  </w:num>
  <w:num w:numId="9" w16cid:durableId="920800111">
    <w:abstractNumId w:val="1"/>
  </w:num>
  <w:num w:numId="10" w16cid:durableId="773598758">
    <w:abstractNumId w:val="0"/>
  </w:num>
  <w:num w:numId="11" w16cid:durableId="1080639512">
    <w:abstractNumId w:val="17"/>
  </w:num>
  <w:num w:numId="12" w16cid:durableId="414212108">
    <w:abstractNumId w:val="17"/>
  </w:num>
  <w:num w:numId="13" w16cid:durableId="1738701488">
    <w:abstractNumId w:val="11"/>
  </w:num>
  <w:num w:numId="14" w16cid:durableId="1660886784">
    <w:abstractNumId w:val="15"/>
  </w:num>
  <w:num w:numId="15" w16cid:durableId="865169042">
    <w:abstractNumId w:val="14"/>
  </w:num>
  <w:num w:numId="16" w16cid:durableId="1029797153">
    <w:abstractNumId w:val="20"/>
  </w:num>
  <w:num w:numId="17" w16cid:durableId="24211448">
    <w:abstractNumId w:val="16"/>
  </w:num>
  <w:num w:numId="18" w16cid:durableId="1525245129">
    <w:abstractNumId w:val="16"/>
  </w:num>
  <w:num w:numId="19" w16cid:durableId="1465125384">
    <w:abstractNumId w:val="15"/>
  </w:num>
  <w:num w:numId="20" w16cid:durableId="330648369">
    <w:abstractNumId w:val="20"/>
  </w:num>
  <w:num w:numId="21" w16cid:durableId="1330326737">
    <w:abstractNumId w:val="13"/>
  </w:num>
  <w:num w:numId="22" w16cid:durableId="678580948">
    <w:abstractNumId w:val="19"/>
  </w:num>
  <w:num w:numId="23" w16cid:durableId="1252861403">
    <w:abstractNumId w:val="10"/>
  </w:num>
  <w:num w:numId="24" w16cid:durableId="1634367080">
    <w:abstractNumId w:val="18"/>
  </w:num>
  <w:num w:numId="25" w16cid:durableId="688438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46"/>
    <w:rsid w:val="000001A1"/>
    <w:rsid w:val="00001382"/>
    <w:rsid w:val="000056FF"/>
    <w:rsid w:val="00016A92"/>
    <w:rsid w:val="00022D3F"/>
    <w:rsid w:val="000304A4"/>
    <w:rsid w:val="00033884"/>
    <w:rsid w:val="00043A8C"/>
    <w:rsid w:val="00044541"/>
    <w:rsid w:val="000503DF"/>
    <w:rsid w:val="00050CBA"/>
    <w:rsid w:val="000637F5"/>
    <w:rsid w:val="0006586C"/>
    <w:rsid w:val="00067874"/>
    <w:rsid w:val="00085A71"/>
    <w:rsid w:val="00085CE8"/>
    <w:rsid w:val="000917D5"/>
    <w:rsid w:val="000A7E0A"/>
    <w:rsid w:val="000B3881"/>
    <w:rsid w:val="000D297B"/>
    <w:rsid w:val="000D6D2D"/>
    <w:rsid w:val="000E162E"/>
    <w:rsid w:val="000E2232"/>
    <w:rsid w:val="00103C51"/>
    <w:rsid w:val="00120A3C"/>
    <w:rsid w:val="001235AD"/>
    <w:rsid w:val="0013439B"/>
    <w:rsid w:val="00142955"/>
    <w:rsid w:val="00143249"/>
    <w:rsid w:val="001461DB"/>
    <w:rsid w:val="00151961"/>
    <w:rsid w:val="001607B0"/>
    <w:rsid w:val="00163738"/>
    <w:rsid w:val="00167C88"/>
    <w:rsid w:val="00167F7E"/>
    <w:rsid w:val="00171644"/>
    <w:rsid w:val="00171ED9"/>
    <w:rsid w:val="0017390A"/>
    <w:rsid w:val="00173FF4"/>
    <w:rsid w:val="00182395"/>
    <w:rsid w:val="00182F09"/>
    <w:rsid w:val="001A214C"/>
    <w:rsid w:val="001A3B2E"/>
    <w:rsid w:val="001B0713"/>
    <w:rsid w:val="001B5C9A"/>
    <w:rsid w:val="001C6E68"/>
    <w:rsid w:val="001D47E1"/>
    <w:rsid w:val="001D5AAE"/>
    <w:rsid w:val="001E212B"/>
    <w:rsid w:val="002012C6"/>
    <w:rsid w:val="00205958"/>
    <w:rsid w:val="00207FE6"/>
    <w:rsid w:val="00211747"/>
    <w:rsid w:val="00212318"/>
    <w:rsid w:val="002125B8"/>
    <w:rsid w:val="002225C8"/>
    <w:rsid w:val="00234470"/>
    <w:rsid w:val="00235960"/>
    <w:rsid w:val="002562B3"/>
    <w:rsid w:val="00273EF2"/>
    <w:rsid w:val="00274B2C"/>
    <w:rsid w:val="0027622D"/>
    <w:rsid w:val="00283BC7"/>
    <w:rsid w:val="002864B0"/>
    <w:rsid w:val="00297583"/>
    <w:rsid w:val="002A05FB"/>
    <w:rsid w:val="002A26BD"/>
    <w:rsid w:val="002B13D1"/>
    <w:rsid w:val="002B62C1"/>
    <w:rsid w:val="002C1207"/>
    <w:rsid w:val="002F3EBD"/>
    <w:rsid w:val="002F57BD"/>
    <w:rsid w:val="00301770"/>
    <w:rsid w:val="00303FFC"/>
    <w:rsid w:val="00323496"/>
    <w:rsid w:val="003449C0"/>
    <w:rsid w:val="003512FD"/>
    <w:rsid w:val="0035245F"/>
    <w:rsid w:val="00356819"/>
    <w:rsid w:val="00362C4F"/>
    <w:rsid w:val="00364BAF"/>
    <w:rsid w:val="00364CEA"/>
    <w:rsid w:val="00364F8D"/>
    <w:rsid w:val="003777F1"/>
    <w:rsid w:val="00377935"/>
    <w:rsid w:val="003807A5"/>
    <w:rsid w:val="003877C9"/>
    <w:rsid w:val="00391D06"/>
    <w:rsid w:val="00392E29"/>
    <w:rsid w:val="00397AC8"/>
    <w:rsid w:val="003A2CD7"/>
    <w:rsid w:val="003A3628"/>
    <w:rsid w:val="003A6BC4"/>
    <w:rsid w:val="003B12E6"/>
    <w:rsid w:val="003C3EC0"/>
    <w:rsid w:val="003C539F"/>
    <w:rsid w:val="003D7EBA"/>
    <w:rsid w:val="003E679A"/>
    <w:rsid w:val="004125EA"/>
    <w:rsid w:val="00415EDE"/>
    <w:rsid w:val="00416DE8"/>
    <w:rsid w:val="00424C87"/>
    <w:rsid w:val="004437C5"/>
    <w:rsid w:val="004441D3"/>
    <w:rsid w:val="004572E2"/>
    <w:rsid w:val="004627F3"/>
    <w:rsid w:val="00463003"/>
    <w:rsid w:val="0046682F"/>
    <w:rsid w:val="00474BB4"/>
    <w:rsid w:val="00484D3E"/>
    <w:rsid w:val="00487023"/>
    <w:rsid w:val="00490691"/>
    <w:rsid w:val="00495C46"/>
    <w:rsid w:val="0049630A"/>
    <w:rsid w:val="00497009"/>
    <w:rsid w:val="004B0D0C"/>
    <w:rsid w:val="004B1FD3"/>
    <w:rsid w:val="004B3620"/>
    <w:rsid w:val="004B6BB8"/>
    <w:rsid w:val="004C49FF"/>
    <w:rsid w:val="004C5C23"/>
    <w:rsid w:val="004D13BB"/>
    <w:rsid w:val="004E05C5"/>
    <w:rsid w:val="004E0721"/>
    <w:rsid w:val="004E343C"/>
    <w:rsid w:val="004E7890"/>
    <w:rsid w:val="00501011"/>
    <w:rsid w:val="00505AD1"/>
    <w:rsid w:val="005447E6"/>
    <w:rsid w:val="0054554E"/>
    <w:rsid w:val="005470A3"/>
    <w:rsid w:val="00552084"/>
    <w:rsid w:val="005711CA"/>
    <w:rsid w:val="00590BF5"/>
    <w:rsid w:val="00597E55"/>
    <w:rsid w:val="005A05FF"/>
    <w:rsid w:val="005A5289"/>
    <w:rsid w:val="005B156F"/>
    <w:rsid w:val="005B4BFA"/>
    <w:rsid w:val="005C7FED"/>
    <w:rsid w:val="005D2B09"/>
    <w:rsid w:val="005E18B2"/>
    <w:rsid w:val="00621F10"/>
    <w:rsid w:val="006403D1"/>
    <w:rsid w:val="00641ADD"/>
    <w:rsid w:val="00641F13"/>
    <w:rsid w:val="00647DC7"/>
    <w:rsid w:val="00650C9F"/>
    <w:rsid w:val="00652B27"/>
    <w:rsid w:val="00661825"/>
    <w:rsid w:val="00671274"/>
    <w:rsid w:val="00673439"/>
    <w:rsid w:val="00683894"/>
    <w:rsid w:val="006871F7"/>
    <w:rsid w:val="00687FA2"/>
    <w:rsid w:val="00693978"/>
    <w:rsid w:val="006975EC"/>
    <w:rsid w:val="006A3229"/>
    <w:rsid w:val="006A60E9"/>
    <w:rsid w:val="006A6D14"/>
    <w:rsid w:val="006B1EDC"/>
    <w:rsid w:val="006B7275"/>
    <w:rsid w:val="006C0BDF"/>
    <w:rsid w:val="006C239E"/>
    <w:rsid w:val="006C77F8"/>
    <w:rsid w:val="006E50F4"/>
    <w:rsid w:val="006E5C9B"/>
    <w:rsid w:val="006E654E"/>
    <w:rsid w:val="006E7EB1"/>
    <w:rsid w:val="006F1F21"/>
    <w:rsid w:val="006F24AB"/>
    <w:rsid w:val="006F29B1"/>
    <w:rsid w:val="006F493B"/>
    <w:rsid w:val="00700E96"/>
    <w:rsid w:val="00704CA6"/>
    <w:rsid w:val="00721057"/>
    <w:rsid w:val="007251AB"/>
    <w:rsid w:val="00731246"/>
    <w:rsid w:val="007335A2"/>
    <w:rsid w:val="00740F6D"/>
    <w:rsid w:val="00744989"/>
    <w:rsid w:val="007462D0"/>
    <w:rsid w:val="00754F07"/>
    <w:rsid w:val="00761CD2"/>
    <w:rsid w:val="00762269"/>
    <w:rsid w:val="00764F15"/>
    <w:rsid w:val="00785135"/>
    <w:rsid w:val="00790F07"/>
    <w:rsid w:val="00791F5D"/>
    <w:rsid w:val="00792F50"/>
    <w:rsid w:val="007A2A02"/>
    <w:rsid w:val="007B11EC"/>
    <w:rsid w:val="007C40AC"/>
    <w:rsid w:val="007C49C9"/>
    <w:rsid w:val="007C776E"/>
    <w:rsid w:val="007D449D"/>
    <w:rsid w:val="007D4E96"/>
    <w:rsid w:val="007D7EA9"/>
    <w:rsid w:val="007E1811"/>
    <w:rsid w:val="007E3F24"/>
    <w:rsid w:val="007F2ED5"/>
    <w:rsid w:val="007F3DD4"/>
    <w:rsid w:val="007F63E7"/>
    <w:rsid w:val="008024F8"/>
    <w:rsid w:val="00806BB9"/>
    <w:rsid w:val="00812C0D"/>
    <w:rsid w:val="00813F2D"/>
    <w:rsid w:val="008150D5"/>
    <w:rsid w:val="0082564F"/>
    <w:rsid w:val="0082787D"/>
    <w:rsid w:val="00835537"/>
    <w:rsid w:val="0083767B"/>
    <w:rsid w:val="00841EE4"/>
    <w:rsid w:val="0084219F"/>
    <w:rsid w:val="008478AE"/>
    <w:rsid w:val="00851453"/>
    <w:rsid w:val="00854F47"/>
    <w:rsid w:val="0085511A"/>
    <w:rsid w:val="00866A9A"/>
    <w:rsid w:val="00867B38"/>
    <w:rsid w:val="008750F1"/>
    <w:rsid w:val="00875E70"/>
    <w:rsid w:val="00887F28"/>
    <w:rsid w:val="00896659"/>
    <w:rsid w:val="008A7CFD"/>
    <w:rsid w:val="008B19EF"/>
    <w:rsid w:val="008C3EF9"/>
    <w:rsid w:val="008D76C9"/>
    <w:rsid w:val="008D7A10"/>
    <w:rsid w:val="008D7DCF"/>
    <w:rsid w:val="008E5648"/>
    <w:rsid w:val="008F1267"/>
    <w:rsid w:val="008F2E17"/>
    <w:rsid w:val="008F3F26"/>
    <w:rsid w:val="00907ACA"/>
    <w:rsid w:val="009125EE"/>
    <w:rsid w:val="009359E5"/>
    <w:rsid w:val="009435CE"/>
    <w:rsid w:val="0094471C"/>
    <w:rsid w:val="00946494"/>
    <w:rsid w:val="00956877"/>
    <w:rsid w:val="009716BB"/>
    <w:rsid w:val="00971A5C"/>
    <w:rsid w:val="0097413E"/>
    <w:rsid w:val="00974FAA"/>
    <w:rsid w:val="00977BB9"/>
    <w:rsid w:val="0098727C"/>
    <w:rsid w:val="00987B34"/>
    <w:rsid w:val="009951B8"/>
    <w:rsid w:val="00996330"/>
    <w:rsid w:val="009963C8"/>
    <w:rsid w:val="009A2209"/>
    <w:rsid w:val="009A473B"/>
    <w:rsid w:val="009B21D6"/>
    <w:rsid w:val="009C46DA"/>
    <w:rsid w:val="009D0057"/>
    <w:rsid w:val="009E0961"/>
    <w:rsid w:val="009E37AB"/>
    <w:rsid w:val="009F2C07"/>
    <w:rsid w:val="00A20404"/>
    <w:rsid w:val="00A25681"/>
    <w:rsid w:val="00A2748D"/>
    <w:rsid w:val="00A27996"/>
    <w:rsid w:val="00A330AD"/>
    <w:rsid w:val="00A4158F"/>
    <w:rsid w:val="00A426FD"/>
    <w:rsid w:val="00A450FB"/>
    <w:rsid w:val="00A5029F"/>
    <w:rsid w:val="00A54226"/>
    <w:rsid w:val="00A55844"/>
    <w:rsid w:val="00A62885"/>
    <w:rsid w:val="00A84F29"/>
    <w:rsid w:val="00A94A5F"/>
    <w:rsid w:val="00AA0EE0"/>
    <w:rsid w:val="00AA188A"/>
    <w:rsid w:val="00AA6404"/>
    <w:rsid w:val="00AA6AAE"/>
    <w:rsid w:val="00AC3D22"/>
    <w:rsid w:val="00AC5A6F"/>
    <w:rsid w:val="00AC61BB"/>
    <w:rsid w:val="00AC7B91"/>
    <w:rsid w:val="00AD29F2"/>
    <w:rsid w:val="00AE38CC"/>
    <w:rsid w:val="00B0042D"/>
    <w:rsid w:val="00B0343B"/>
    <w:rsid w:val="00B04675"/>
    <w:rsid w:val="00B178F9"/>
    <w:rsid w:val="00B21B2B"/>
    <w:rsid w:val="00B236D6"/>
    <w:rsid w:val="00B23777"/>
    <w:rsid w:val="00B33EBF"/>
    <w:rsid w:val="00B37929"/>
    <w:rsid w:val="00B37C0F"/>
    <w:rsid w:val="00B43E4B"/>
    <w:rsid w:val="00B634E1"/>
    <w:rsid w:val="00B63687"/>
    <w:rsid w:val="00B724CC"/>
    <w:rsid w:val="00B904BD"/>
    <w:rsid w:val="00B93412"/>
    <w:rsid w:val="00B9376E"/>
    <w:rsid w:val="00BA207D"/>
    <w:rsid w:val="00BA6444"/>
    <w:rsid w:val="00BC0237"/>
    <w:rsid w:val="00BC475C"/>
    <w:rsid w:val="00BD71A6"/>
    <w:rsid w:val="00BE1CD5"/>
    <w:rsid w:val="00BE53A5"/>
    <w:rsid w:val="00BE652E"/>
    <w:rsid w:val="00BF6944"/>
    <w:rsid w:val="00C04A38"/>
    <w:rsid w:val="00C114C9"/>
    <w:rsid w:val="00C12A10"/>
    <w:rsid w:val="00C16E0D"/>
    <w:rsid w:val="00C174C5"/>
    <w:rsid w:val="00C20B3D"/>
    <w:rsid w:val="00C2576A"/>
    <w:rsid w:val="00C35A47"/>
    <w:rsid w:val="00C4340B"/>
    <w:rsid w:val="00C453D5"/>
    <w:rsid w:val="00C5102C"/>
    <w:rsid w:val="00C51E44"/>
    <w:rsid w:val="00C5283F"/>
    <w:rsid w:val="00C53CD3"/>
    <w:rsid w:val="00C54A41"/>
    <w:rsid w:val="00C77CDF"/>
    <w:rsid w:val="00C85E9E"/>
    <w:rsid w:val="00C95831"/>
    <w:rsid w:val="00C960A4"/>
    <w:rsid w:val="00C96B2C"/>
    <w:rsid w:val="00CA44E7"/>
    <w:rsid w:val="00CA6D97"/>
    <w:rsid w:val="00CB3F69"/>
    <w:rsid w:val="00CC02F8"/>
    <w:rsid w:val="00CC3B7A"/>
    <w:rsid w:val="00CC78C5"/>
    <w:rsid w:val="00CC7DAC"/>
    <w:rsid w:val="00CD768F"/>
    <w:rsid w:val="00CE0CF0"/>
    <w:rsid w:val="00CE69FB"/>
    <w:rsid w:val="00CE7BB0"/>
    <w:rsid w:val="00CF2C90"/>
    <w:rsid w:val="00CF6CD2"/>
    <w:rsid w:val="00CF78CD"/>
    <w:rsid w:val="00D02192"/>
    <w:rsid w:val="00D14CDB"/>
    <w:rsid w:val="00D21AA5"/>
    <w:rsid w:val="00D22201"/>
    <w:rsid w:val="00D24F9F"/>
    <w:rsid w:val="00D262DE"/>
    <w:rsid w:val="00D26E30"/>
    <w:rsid w:val="00D32999"/>
    <w:rsid w:val="00D3409C"/>
    <w:rsid w:val="00D34433"/>
    <w:rsid w:val="00D3467B"/>
    <w:rsid w:val="00D3656D"/>
    <w:rsid w:val="00D41539"/>
    <w:rsid w:val="00D47602"/>
    <w:rsid w:val="00D55D9A"/>
    <w:rsid w:val="00D713F6"/>
    <w:rsid w:val="00D72704"/>
    <w:rsid w:val="00D755F7"/>
    <w:rsid w:val="00D91B38"/>
    <w:rsid w:val="00D925E0"/>
    <w:rsid w:val="00DA32D4"/>
    <w:rsid w:val="00DA3529"/>
    <w:rsid w:val="00DA5079"/>
    <w:rsid w:val="00DA6E56"/>
    <w:rsid w:val="00DB727B"/>
    <w:rsid w:val="00DD6FCC"/>
    <w:rsid w:val="00E03665"/>
    <w:rsid w:val="00E06B50"/>
    <w:rsid w:val="00E076EA"/>
    <w:rsid w:val="00E10C31"/>
    <w:rsid w:val="00E12E8C"/>
    <w:rsid w:val="00E137D4"/>
    <w:rsid w:val="00E16789"/>
    <w:rsid w:val="00E244C5"/>
    <w:rsid w:val="00E24F77"/>
    <w:rsid w:val="00E25B9A"/>
    <w:rsid w:val="00E35CC2"/>
    <w:rsid w:val="00E35F0B"/>
    <w:rsid w:val="00E50437"/>
    <w:rsid w:val="00E6007D"/>
    <w:rsid w:val="00E74343"/>
    <w:rsid w:val="00E77D80"/>
    <w:rsid w:val="00E80C2F"/>
    <w:rsid w:val="00E855FA"/>
    <w:rsid w:val="00E8686E"/>
    <w:rsid w:val="00E92372"/>
    <w:rsid w:val="00E96841"/>
    <w:rsid w:val="00EA1AE0"/>
    <w:rsid w:val="00EA205C"/>
    <w:rsid w:val="00EB0DF2"/>
    <w:rsid w:val="00EB74BE"/>
    <w:rsid w:val="00EC1B3D"/>
    <w:rsid w:val="00EC5A7C"/>
    <w:rsid w:val="00ED7114"/>
    <w:rsid w:val="00EE0A0F"/>
    <w:rsid w:val="00EE160F"/>
    <w:rsid w:val="00F012A9"/>
    <w:rsid w:val="00F01EF7"/>
    <w:rsid w:val="00F42617"/>
    <w:rsid w:val="00F5208A"/>
    <w:rsid w:val="00F60043"/>
    <w:rsid w:val="00F71361"/>
    <w:rsid w:val="00F7379C"/>
    <w:rsid w:val="00F83701"/>
    <w:rsid w:val="00F9674A"/>
    <w:rsid w:val="00FB38C1"/>
    <w:rsid w:val="00FC463E"/>
    <w:rsid w:val="00FC7EBF"/>
    <w:rsid w:val="00FD6D82"/>
    <w:rsid w:val="00FD719F"/>
    <w:rsid w:val="00FD7CB0"/>
    <w:rsid w:val="00FE5F0E"/>
    <w:rsid w:val="00FF3CE0"/>
    <w:rsid w:val="00FF3D6C"/>
    <w:rsid w:val="00FF5203"/>
    <w:rsid w:val="00FF7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45567"/>
  <w15:chartTrackingRefBased/>
  <w15:docId w15:val="{56C7B971-90A9-CC4F-B879-1751E0BB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C46"/>
    <w:pPr>
      <w:spacing w:before="120" w:after="60"/>
    </w:pPr>
    <w:rPr>
      <w:rFonts w:ascii="Gill Sans MT" w:hAnsi="Gill Sans MT"/>
    </w:rPr>
  </w:style>
  <w:style w:type="paragraph" w:styleId="Heading1">
    <w:name w:val="heading 1"/>
    <w:basedOn w:val="Normal"/>
    <w:next w:val="BodyText"/>
    <w:link w:val="Heading1Char"/>
    <w:uiPriority w:val="9"/>
    <w:qFormat/>
    <w:rsid w:val="00495C46"/>
    <w:pPr>
      <w:keepNext/>
      <w:keepLines/>
      <w:outlineLvl w:val="0"/>
    </w:pPr>
    <w:rPr>
      <w:rFonts w:eastAsiaTheme="majorEastAsia" w:cs="Times New Roman (Headings CS)"/>
      <w:b/>
      <w:caps/>
      <w:spacing w:val="30"/>
      <w:sz w:val="24"/>
      <w:szCs w:val="32"/>
    </w:rPr>
  </w:style>
  <w:style w:type="paragraph" w:styleId="Heading2">
    <w:name w:val="heading 2"/>
    <w:basedOn w:val="Normal"/>
    <w:next w:val="BodyText"/>
    <w:link w:val="Heading2Char"/>
    <w:uiPriority w:val="9"/>
    <w:unhideWhenUsed/>
    <w:qFormat/>
    <w:rsid w:val="00495C46"/>
    <w:pPr>
      <w:keepNext/>
      <w:keepLines/>
      <w:outlineLvl w:val="1"/>
    </w:pPr>
    <w:rPr>
      <w:rFonts w:eastAsiaTheme="majorEastAsia" w:cstheme="majorBidi"/>
      <w:b/>
      <w:spacing w:val="30"/>
      <w:sz w:val="24"/>
      <w:szCs w:val="26"/>
    </w:rPr>
  </w:style>
  <w:style w:type="paragraph" w:styleId="Heading3">
    <w:name w:val="heading 3"/>
    <w:basedOn w:val="Normal"/>
    <w:next w:val="BodyText"/>
    <w:link w:val="Heading3Char"/>
    <w:uiPriority w:val="9"/>
    <w:unhideWhenUsed/>
    <w:qFormat/>
    <w:rsid w:val="008D7DCF"/>
    <w:pPr>
      <w:keepNext/>
      <w:keepLines/>
      <w:outlineLvl w:val="2"/>
    </w:pPr>
    <w:rPr>
      <w:rFonts w:eastAsiaTheme="majorEastAsia" w:cstheme="majorBidi"/>
      <w:b/>
      <w:i/>
      <w:spacing w:val="30"/>
      <w:sz w:val="24"/>
      <w:szCs w:val="24"/>
    </w:rPr>
  </w:style>
  <w:style w:type="paragraph" w:styleId="Heading4">
    <w:name w:val="heading 4"/>
    <w:basedOn w:val="Normal"/>
    <w:next w:val="Normal"/>
    <w:link w:val="Heading4Char"/>
    <w:uiPriority w:val="9"/>
    <w:unhideWhenUsed/>
    <w:qFormat/>
    <w:rsid w:val="00495C46"/>
    <w:pPr>
      <w:keepNext/>
      <w:keepLines/>
      <w:spacing w:after="120"/>
      <w:outlineLvl w:val="3"/>
    </w:pPr>
    <w:rPr>
      <w:rFonts w:eastAsiaTheme="majorEastAsia" w:cstheme="majorBidi"/>
      <w:iCs/>
      <w:sz w:val="24"/>
      <w:u w:val="single"/>
    </w:rPr>
  </w:style>
  <w:style w:type="paragraph" w:styleId="Heading5">
    <w:name w:val="heading 5"/>
    <w:basedOn w:val="Normal"/>
    <w:next w:val="Normal"/>
    <w:link w:val="Heading5Char"/>
    <w:uiPriority w:val="9"/>
    <w:semiHidden/>
    <w:unhideWhenUsed/>
    <w:qFormat/>
    <w:rsid w:val="00495C46"/>
    <w:pPr>
      <w:keepNext/>
      <w:keepLines/>
      <w:spacing w:before="40"/>
      <w:outlineLvl w:val="4"/>
    </w:pPr>
    <w:rPr>
      <w:rFonts w:eastAsiaTheme="majorEastAsia"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randumBullet1">
    <w:name w:val="Memorandum Bullet 1"/>
    <w:basedOn w:val="Normal"/>
    <w:qFormat/>
    <w:rsid w:val="00377935"/>
    <w:pPr>
      <w:numPr>
        <w:numId w:val="21"/>
      </w:numPr>
      <w:spacing w:after="80"/>
      <w:ind w:left="720"/>
    </w:pPr>
  </w:style>
  <w:style w:type="paragraph" w:customStyle="1" w:styleId="MemorandumBullet2">
    <w:name w:val="Memorandum Bullet 2"/>
    <w:basedOn w:val="Normal"/>
    <w:qFormat/>
    <w:rsid w:val="00377935"/>
    <w:pPr>
      <w:numPr>
        <w:numId w:val="22"/>
      </w:numPr>
      <w:spacing w:after="80"/>
      <w:ind w:left="1080"/>
    </w:pPr>
  </w:style>
  <w:style w:type="paragraph" w:styleId="BodyText">
    <w:name w:val="Body Text"/>
    <w:basedOn w:val="Normal"/>
    <w:link w:val="BodyTextChar"/>
    <w:uiPriority w:val="99"/>
    <w:unhideWhenUsed/>
    <w:rsid w:val="007251AB"/>
    <w:pPr>
      <w:spacing w:after="180"/>
    </w:pPr>
  </w:style>
  <w:style w:type="character" w:customStyle="1" w:styleId="BodyTextChar">
    <w:name w:val="Body Text Char"/>
    <w:basedOn w:val="DefaultParagraphFont"/>
    <w:link w:val="BodyText"/>
    <w:uiPriority w:val="99"/>
    <w:rsid w:val="007251AB"/>
    <w:rPr>
      <w:rFonts w:ascii="Gill Sans MT" w:hAnsi="Gill Sans MT"/>
    </w:rPr>
  </w:style>
  <w:style w:type="character" w:customStyle="1" w:styleId="Heading2Char">
    <w:name w:val="Heading 2 Char"/>
    <w:basedOn w:val="DefaultParagraphFont"/>
    <w:link w:val="Heading2"/>
    <w:uiPriority w:val="9"/>
    <w:rsid w:val="00495C46"/>
    <w:rPr>
      <w:rFonts w:ascii="Gill Sans MT" w:eastAsiaTheme="majorEastAsia" w:hAnsi="Gill Sans MT" w:cstheme="majorBidi"/>
      <w:b/>
      <w:spacing w:val="30"/>
      <w:sz w:val="24"/>
      <w:szCs w:val="26"/>
    </w:rPr>
  </w:style>
  <w:style w:type="character" w:customStyle="1" w:styleId="Heading3Char">
    <w:name w:val="Heading 3 Char"/>
    <w:basedOn w:val="DefaultParagraphFont"/>
    <w:link w:val="Heading3"/>
    <w:uiPriority w:val="9"/>
    <w:rsid w:val="008D7DCF"/>
    <w:rPr>
      <w:rFonts w:ascii="Gill Sans MT" w:eastAsiaTheme="majorEastAsia" w:hAnsi="Gill Sans MT" w:cstheme="majorBidi"/>
      <w:b/>
      <w:i/>
      <w:spacing w:val="30"/>
      <w:sz w:val="24"/>
      <w:szCs w:val="24"/>
    </w:rPr>
  </w:style>
  <w:style w:type="character" w:customStyle="1" w:styleId="Heading4Char">
    <w:name w:val="Heading 4 Char"/>
    <w:basedOn w:val="DefaultParagraphFont"/>
    <w:link w:val="Heading4"/>
    <w:uiPriority w:val="9"/>
    <w:rsid w:val="00495C46"/>
    <w:rPr>
      <w:rFonts w:ascii="Gill Sans MT" w:eastAsiaTheme="majorEastAsia" w:hAnsi="Gill Sans MT" w:cstheme="majorBidi"/>
      <w:iCs/>
      <w:sz w:val="24"/>
      <w:u w:val="single"/>
    </w:rPr>
  </w:style>
  <w:style w:type="character" w:customStyle="1" w:styleId="Heading5Char">
    <w:name w:val="Heading 5 Char"/>
    <w:basedOn w:val="DefaultParagraphFont"/>
    <w:link w:val="Heading5"/>
    <w:uiPriority w:val="9"/>
    <w:semiHidden/>
    <w:rsid w:val="00495C46"/>
    <w:rPr>
      <w:rFonts w:ascii="Gill Sans MT" w:eastAsiaTheme="majorEastAsia" w:hAnsi="Gill Sans MT" w:cstheme="majorBidi"/>
      <w:sz w:val="24"/>
    </w:rPr>
  </w:style>
  <w:style w:type="character" w:customStyle="1" w:styleId="Heading1Char">
    <w:name w:val="Heading 1 Char"/>
    <w:basedOn w:val="DefaultParagraphFont"/>
    <w:link w:val="Heading1"/>
    <w:uiPriority w:val="9"/>
    <w:rsid w:val="00495C46"/>
    <w:rPr>
      <w:rFonts w:ascii="Gill Sans MT" w:eastAsiaTheme="majorEastAsia" w:hAnsi="Gill Sans MT" w:cs="Times New Roman (Headings CS)"/>
      <w:b/>
      <w:caps/>
      <w:spacing w:val="30"/>
      <w:sz w:val="24"/>
      <w:szCs w:val="32"/>
    </w:rPr>
  </w:style>
  <w:style w:type="paragraph" w:customStyle="1" w:styleId="MemorandumBulletLAST">
    <w:name w:val="Memorandum Bullet LAST"/>
    <w:basedOn w:val="Normal"/>
    <w:next w:val="BodyText"/>
    <w:qFormat/>
    <w:rsid w:val="00377935"/>
    <w:pPr>
      <w:numPr>
        <w:numId w:val="23"/>
      </w:numPr>
      <w:spacing w:after="180"/>
      <w:ind w:left="720"/>
    </w:pPr>
  </w:style>
  <w:style w:type="paragraph" w:styleId="Caption">
    <w:name w:val="caption"/>
    <w:basedOn w:val="Normal"/>
    <w:next w:val="BodyText"/>
    <w:uiPriority w:val="35"/>
    <w:unhideWhenUsed/>
    <w:qFormat/>
    <w:rsid w:val="00CD768F"/>
    <w:pPr>
      <w:ind w:left="1440" w:hanging="1440"/>
    </w:pPr>
    <w:rPr>
      <w:b/>
      <w:iCs/>
      <w:spacing w:val="30"/>
      <w:sz w:val="24"/>
      <w:szCs w:val="18"/>
    </w:rPr>
  </w:style>
  <w:style w:type="paragraph" w:styleId="Header">
    <w:name w:val="header"/>
    <w:basedOn w:val="Normal"/>
    <w:link w:val="HeaderChar"/>
    <w:uiPriority w:val="99"/>
    <w:unhideWhenUsed/>
    <w:rsid w:val="002125B8"/>
    <w:pPr>
      <w:tabs>
        <w:tab w:val="center" w:pos="4680"/>
        <w:tab w:val="right" w:pos="9360"/>
      </w:tabs>
    </w:pPr>
  </w:style>
  <w:style w:type="character" w:customStyle="1" w:styleId="HeaderChar">
    <w:name w:val="Header Char"/>
    <w:basedOn w:val="DefaultParagraphFont"/>
    <w:link w:val="Header"/>
    <w:uiPriority w:val="99"/>
    <w:rsid w:val="002125B8"/>
    <w:rPr>
      <w:rFonts w:ascii="Gill Sans MT" w:hAnsi="Gill Sans MT"/>
    </w:rPr>
  </w:style>
  <w:style w:type="paragraph" w:styleId="Footer">
    <w:name w:val="footer"/>
    <w:basedOn w:val="Normal"/>
    <w:link w:val="FooterChar"/>
    <w:uiPriority w:val="99"/>
    <w:unhideWhenUsed/>
    <w:rsid w:val="00AC5A6F"/>
    <w:pPr>
      <w:tabs>
        <w:tab w:val="center" w:pos="4680"/>
        <w:tab w:val="right" w:pos="9360"/>
      </w:tabs>
    </w:pPr>
  </w:style>
  <w:style w:type="character" w:customStyle="1" w:styleId="FooterChar">
    <w:name w:val="Footer Char"/>
    <w:basedOn w:val="DefaultParagraphFont"/>
    <w:link w:val="Footer"/>
    <w:uiPriority w:val="99"/>
    <w:rsid w:val="00AC5A6F"/>
  </w:style>
  <w:style w:type="paragraph" w:customStyle="1" w:styleId="Memorandum">
    <w:name w:val="Memorandum"/>
    <w:basedOn w:val="Normal"/>
    <w:qFormat/>
    <w:rsid w:val="00182F09"/>
    <w:pPr>
      <w:spacing w:after="120"/>
    </w:pPr>
    <w:rPr>
      <w:caps/>
      <w:spacing w:val="60"/>
      <w:sz w:val="32"/>
    </w:rPr>
  </w:style>
  <w:style w:type="table" w:styleId="TableGrid">
    <w:name w:val="Table Grid"/>
    <w:basedOn w:val="TableNormal"/>
    <w:uiPriority w:val="39"/>
    <w:rsid w:val="00120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Addressee">
    <w:name w:val="To Addressee"/>
    <w:basedOn w:val="Normal"/>
    <w:qFormat/>
    <w:rsid w:val="00754F07"/>
    <w:pPr>
      <w:spacing w:after="180"/>
    </w:pPr>
  </w:style>
  <w:style w:type="paragraph" w:customStyle="1" w:styleId="FromAddressee">
    <w:name w:val="From Addressee"/>
    <w:basedOn w:val="Normal"/>
    <w:qFormat/>
    <w:rsid w:val="00754F07"/>
    <w:pPr>
      <w:spacing w:after="180"/>
    </w:pPr>
  </w:style>
  <w:style w:type="paragraph" w:styleId="Date">
    <w:name w:val="Date"/>
    <w:basedOn w:val="Normal"/>
    <w:next w:val="Normal"/>
    <w:link w:val="DateChar"/>
    <w:uiPriority w:val="99"/>
    <w:semiHidden/>
    <w:unhideWhenUsed/>
    <w:rsid w:val="00754F07"/>
    <w:pPr>
      <w:spacing w:after="180"/>
    </w:pPr>
  </w:style>
  <w:style w:type="character" w:customStyle="1" w:styleId="DateChar">
    <w:name w:val="Date Char"/>
    <w:basedOn w:val="DefaultParagraphFont"/>
    <w:link w:val="Date"/>
    <w:uiPriority w:val="99"/>
    <w:semiHidden/>
    <w:rsid w:val="00754F07"/>
    <w:rPr>
      <w:rFonts w:ascii="Gill Sans MT" w:hAnsi="Gill Sans MT"/>
    </w:rPr>
  </w:style>
  <w:style w:type="paragraph" w:customStyle="1" w:styleId="ProjectNameandReferenceNumber">
    <w:name w:val="Project Name and Reference Number"/>
    <w:basedOn w:val="Normal"/>
    <w:next w:val="BodyText"/>
    <w:qFormat/>
    <w:rsid w:val="00754F07"/>
    <w:pPr>
      <w:spacing w:after="240"/>
    </w:pPr>
  </w:style>
  <w:style w:type="paragraph" w:styleId="NoSpacing">
    <w:name w:val="No Spacing"/>
    <w:uiPriority w:val="1"/>
    <w:qFormat/>
    <w:rsid w:val="00996330"/>
    <w:rPr>
      <w:rFonts w:ascii="Gill Sans MT" w:hAnsi="Gill Sans MT"/>
    </w:rPr>
  </w:style>
  <w:style w:type="paragraph" w:customStyle="1" w:styleId="ReportBullet1">
    <w:name w:val="Report Bullet 1"/>
    <w:basedOn w:val="Normal"/>
    <w:qFormat/>
    <w:rsid w:val="008750F1"/>
    <w:pPr>
      <w:numPr>
        <w:numId w:val="24"/>
      </w:numPr>
      <w:spacing w:after="80"/>
    </w:pPr>
  </w:style>
  <w:style w:type="paragraph" w:customStyle="1" w:styleId="ReportBullet1LAST">
    <w:name w:val="Report Bullet 1 LAST"/>
    <w:basedOn w:val="Normal"/>
    <w:next w:val="BodyText"/>
    <w:qFormat/>
    <w:rsid w:val="008750F1"/>
    <w:pPr>
      <w:numPr>
        <w:numId w:val="25"/>
      </w:numPr>
      <w:spacing w:after="180"/>
    </w:pPr>
  </w:style>
  <w:style w:type="paragraph" w:customStyle="1" w:styleId="TableHeading">
    <w:name w:val="Table Heading"/>
    <w:basedOn w:val="Normal"/>
    <w:next w:val="BodyText"/>
    <w:qFormat/>
    <w:rsid w:val="00EB0DF2"/>
    <w:pPr>
      <w:spacing w:before="40" w:after="40"/>
      <w:jc w:val="center"/>
    </w:pPr>
    <w:rPr>
      <w:b/>
      <w:color w:val="FFFFFF" w:themeColor="background1"/>
    </w:rPr>
  </w:style>
  <w:style w:type="paragraph" w:customStyle="1" w:styleId="TableText">
    <w:name w:val="Table Text"/>
    <w:basedOn w:val="Normal"/>
    <w:qFormat/>
    <w:rsid w:val="00EB0DF2"/>
    <w:pPr>
      <w:spacing w:before="40" w:after="40"/>
    </w:pPr>
    <w:rPr>
      <w:sz w:val="20"/>
    </w:rPr>
  </w:style>
  <w:style w:type="paragraph" w:customStyle="1" w:styleId="TableCaptionTitle">
    <w:name w:val="Table Caption Title"/>
    <w:basedOn w:val="Normal"/>
    <w:next w:val="BodyText"/>
    <w:qFormat/>
    <w:rsid w:val="00C04A38"/>
    <w:pPr>
      <w:spacing w:after="120"/>
      <w:ind w:left="1800" w:hanging="1800"/>
    </w:pPr>
    <w:rPr>
      <w:b/>
      <w:color w:val="D29F13" w:themeColor="accent4"/>
      <w:spacing w:val="30"/>
    </w:rPr>
  </w:style>
  <w:style w:type="paragraph" w:styleId="Revision">
    <w:name w:val="Revision"/>
    <w:hidden/>
    <w:uiPriority w:val="99"/>
    <w:semiHidden/>
    <w:rsid w:val="005B156F"/>
    <w:rPr>
      <w:rFonts w:ascii="Gill Sans MT" w:hAnsi="Gill Sans MT"/>
    </w:rPr>
  </w:style>
  <w:style w:type="character" w:styleId="CommentReference">
    <w:name w:val="annotation reference"/>
    <w:basedOn w:val="DefaultParagraphFont"/>
    <w:uiPriority w:val="99"/>
    <w:semiHidden/>
    <w:unhideWhenUsed/>
    <w:rsid w:val="00B724CC"/>
    <w:rPr>
      <w:sz w:val="16"/>
      <w:szCs w:val="16"/>
    </w:rPr>
  </w:style>
  <w:style w:type="paragraph" w:styleId="CommentText">
    <w:name w:val="annotation text"/>
    <w:basedOn w:val="Normal"/>
    <w:link w:val="CommentTextChar"/>
    <w:uiPriority w:val="99"/>
    <w:unhideWhenUsed/>
    <w:rsid w:val="00B724CC"/>
    <w:rPr>
      <w:sz w:val="20"/>
      <w:szCs w:val="20"/>
    </w:rPr>
  </w:style>
  <w:style w:type="character" w:customStyle="1" w:styleId="CommentTextChar">
    <w:name w:val="Comment Text Char"/>
    <w:basedOn w:val="DefaultParagraphFont"/>
    <w:link w:val="CommentText"/>
    <w:uiPriority w:val="99"/>
    <w:rsid w:val="00B724CC"/>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B724CC"/>
    <w:rPr>
      <w:b/>
      <w:bCs/>
    </w:rPr>
  </w:style>
  <w:style w:type="character" w:customStyle="1" w:styleId="CommentSubjectChar">
    <w:name w:val="Comment Subject Char"/>
    <w:basedOn w:val="CommentTextChar"/>
    <w:link w:val="CommentSubject"/>
    <w:uiPriority w:val="99"/>
    <w:semiHidden/>
    <w:rsid w:val="00B724CC"/>
    <w:rPr>
      <w:rFonts w:ascii="Gill Sans MT" w:hAnsi="Gill Sans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FHU FAT Palette">
      <a:dk1>
        <a:srgbClr val="415563"/>
      </a:dk1>
      <a:lt1>
        <a:srgbClr val="FFFFFF"/>
      </a:lt1>
      <a:dk2>
        <a:srgbClr val="005E5D"/>
      </a:dk2>
      <a:lt2>
        <a:srgbClr val="E7E6E6"/>
      </a:lt2>
      <a:accent1>
        <a:srgbClr val="7A9A01"/>
      </a:accent1>
      <a:accent2>
        <a:srgbClr val="B15533"/>
      </a:accent2>
      <a:accent3>
        <a:srgbClr val="00677F"/>
      </a:accent3>
      <a:accent4>
        <a:srgbClr val="D29F13"/>
      </a:accent4>
      <a:accent5>
        <a:srgbClr val="425563"/>
      </a:accent5>
      <a:accent6>
        <a:srgbClr val="005E5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36558-2D7F-4DE6-BEED-34074A6D2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12</Pages>
  <Words>5224</Words>
  <Characters>29260</Characters>
  <Application>Microsoft Office Word</Application>
  <DocSecurity>0</DocSecurity>
  <Lines>696</Lines>
  <Paragraphs>465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Ackermann</cp:lastModifiedBy>
  <cp:revision>55</cp:revision>
  <cp:lastPrinted>2018-01-10T00:15:00Z</cp:lastPrinted>
  <dcterms:created xsi:type="dcterms:W3CDTF">2024-02-16T15:10:00Z</dcterms:created>
  <dcterms:modified xsi:type="dcterms:W3CDTF">2026-02-16T21:37:00Z</dcterms:modified>
</cp:coreProperties>
</file>